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48007" w14:textId="77777777" w:rsidR="00C244E0" w:rsidRPr="00D83D29" w:rsidRDefault="004B2662" w:rsidP="00D83D29">
      <w:pPr>
        <w:spacing w:before="240" w:line="240" w:lineRule="auto"/>
        <w:rPr>
          <w:rFonts w:ascii="Times New Roman" w:eastAsia="Times New Roman" w:hAnsi="Times New Roman"/>
          <w:b/>
          <w:bCs/>
          <w:color w:val="003296"/>
          <w:kern w:val="36"/>
          <w:sz w:val="28"/>
          <w:szCs w:val="24"/>
          <w:lang w:eastAsia="en-IN"/>
        </w:rPr>
      </w:pPr>
      <w:r>
        <w:rPr>
          <w:noProof/>
          <w:lang w:eastAsia="en-IN"/>
        </w:rPr>
        <mc:AlternateContent>
          <mc:Choice Requires="wps">
            <w:drawing>
              <wp:anchor distT="0" distB="0" distL="114300" distR="114300" simplePos="0" relativeHeight="251668480" behindDoc="0" locked="0" layoutInCell="1" allowOverlap="1" wp14:anchorId="5C6A2FB0" wp14:editId="290E5AEF">
                <wp:simplePos x="0" y="0"/>
                <wp:positionH relativeFrom="column">
                  <wp:posOffset>2845142</wp:posOffset>
                </wp:positionH>
                <wp:positionV relativeFrom="paragraph">
                  <wp:posOffset>29308</wp:posOffset>
                </wp:positionV>
                <wp:extent cx="3481754" cy="247650"/>
                <wp:effectExtent l="0" t="0" r="444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54"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C15AE8" w14:textId="652EC13E" w:rsidR="00AE5C8C" w:rsidRPr="0065598E" w:rsidRDefault="00AE5C8C" w:rsidP="00265E19">
                            <w:pPr>
                              <w:rPr>
                                <w:rFonts w:ascii="Times New Roman" w:hAnsi="Times New Roman"/>
                                <w:sz w:val="20"/>
                                <w:szCs w:val="16"/>
                              </w:rPr>
                            </w:pPr>
                            <w:r>
                              <w:rPr>
                                <w:rFonts w:ascii="Times New Roman" w:hAnsi="Times New Roman"/>
                                <w:sz w:val="20"/>
                                <w:szCs w:val="16"/>
                              </w:rPr>
                              <w:t xml:space="preserve">      DOI: </w:t>
                            </w:r>
                            <w:r w:rsidRPr="00C34F52">
                              <w:rPr>
                                <w:rFonts w:ascii="Times New Roman" w:hAnsi="Times New Roman"/>
                                <w:sz w:val="20"/>
                                <w:szCs w:val="16"/>
                              </w:rPr>
                              <w:t>http</w:t>
                            </w:r>
                            <w:r>
                              <w:rPr>
                                <w:rFonts w:ascii="Times New Roman" w:hAnsi="Times New Roman"/>
                                <w:sz w:val="20"/>
                                <w:szCs w:val="16"/>
                              </w:rPr>
                              <w:t>s</w:t>
                            </w:r>
                            <w:r w:rsidRPr="00C34F52">
                              <w:rPr>
                                <w:rFonts w:ascii="Times New Roman" w:hAnsi="Times New Roman"/>
                                <w:sz w:val="20"/>
                                <w:szCs w:val="16"/>
                              </w:rPr>
                              <w:t>://dx.doi.org</w:t>
                            </w:r>
                            <w:r>
                              <w:rPr>
                                <w:rFonts w:ascii="Times New Roman" w:hAnsi="Times New Roman"/>
                                <w:sz w:val="20"/>
                                <w:szCs w:val="16"/>
                              </w:rPr>
                              <w:t>/</w:t>
                            </w:r>
                            <w:r w:rsidR="00087ACE" w:rsidRPr="00087ACE">
                              <w:rPr>
                                <w:rFonts w:ascii="Times New Roman" w:hAnsi="Times New Roman"/>
                                <w:sz w:val="20"/>
                                <w:szCs w:val="16"/>
                              </w:rPr>
                              <w:t>10.18203/2349-3933.ijam20233207</w:t>
                            </w:r>
                            <w:bookmarkStart w:id="0" w:name="_GoBack"/>
                            <w:bookmarkEnd w:id="0"/>
                          </w:p>
                          <w:p w14:paraId="43C98206" w14:textId="77777777" w:rsidR="00AE5C8C" w:rsidRPr="0065598E" w:rsidRDefault="00AE5C8C" w:rsidP="004B2662">
                            <w:pPr>
                              <w:spacing w:after="0" w:line="240" w:lineRule="auto"/>
                              <w:rPr>
                                <w:rFonts w:ascii="Times New Roman" w:hAnsi="Times New Roman"/>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6A2FB0" id="_x0000_t202" coordsize="21600,21600" o:spt="202" path="m,l,21600r21600,l21600,xe">
                <v:stroke joinstyle="miter"/>
                <v:path gradientshapeok="t" o:connecttype="rect"/>
              </v:shapetype>
              <v:shape id="Text Box 34" o:spid="_x0000_s1026" type="#_x0000_t202" style="position:absolute;margin-left:224.05pt;margin-top:2.3pt;width:274.1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" fillcolor="white [3201]" stroked="f" strokeweight=".5pt">
                <v:path arrowok="t"/>
                <v:textbox>
                  <w:txbxContent>
                    <w:p w14:paraId="7BC15AE8" w14:textId="652EC13E" w:rsidR="00AE5C8C" w:rsidRPr="0065598E" w:rsidRDefault="00AE5C8C" w:rsidP="00265E19">
                      <w:pPr>
                        <w:rPr>
                          <w:rFonts w:ascii="Times New Roman" w:hAnsi="Times New Roman"/>
                          <w:sz w:val="20"/>
                          <w:szCs w:val="16"/>
                        </w:rPr>
                      </w:pPr>
                      <w:r>
                        <w:rPr>
                          <w:rFonts w:ascii="Times New Roman" w:hAnsi="Times New Roman"/>
                          <w:sz w:val="20"/>
                          <w:szCs w:val="16"/>
                        </w:rPr>
                        <w:t xml:space="preserve">      DOI: </w:t>
                      </w:r>
                      <w:r w:rsidRPr="00C34F52">
                        <w:rPr>
                          <w:rFonts w:ascii="Times New Roman" w:hAnsi="Times New Roman"/>
                          <w:sz w:val="20"/>
                          <w:szCs w:val="16"/>
                        </w:rPr>
                        <w:t>http</w:t>
                      </w:r>
                      <w:r>
                        <w:rPr>
                          <w:rFonts w:ascii="Times New Roman" w:hAnsi="Times New Roman"/>
                          <w:sz w:val="20"/>
                          <w:szCs w:val="16"/>
                        </w:rPr>
                        <w:t>s</w:t>
                      </w:r>
                      <w:r w:rsidRPr="00C34F52">
                        <w:rPr>
                          <w:rFonts w:ascii="Times New Roman" w:hAnsi="Times New Roman"/>
                          <w:sz w:val="20"/>
                          <w:szCs w:val="16"/>
                        </w:rPr>
                        <w:t>://dx.doi.org</w:t>
                      </w:r>
                      <w:r>
                        <w:rPr>
                          <w:rFonts w:ascii="Times New Roman" w:hAnsi="Times New Roman"/>
                          <w:sz w:val="20"/>
                          <w:szCs w:val="16"/>
                        </w:rPr>
                        <w:t>/</w:t>
                      </w:r>
                      <w:r w:rsidR="00087ACE" w:rsidRPr="00087ACE">
                        <w:rPr>
                          <w:rFonts w:ascii="Times New Roman" w:hAnsi="Times New Roman"/>
                          <w:sz w:val="20"/>
                          <w:szCs w:val="16"/>
                        </w:rPr>
                        <w:t>10.18203/2349-3933.ijam20233207</w:t>
                      </w:r>
                      <w:bookmarkStart w:id="1" w:name="_GoBack"/>
                      <w:bookmarkEnd w:id="1"/>
                    </w:p>
                    <w:p w14:paraId="43C98206" w14:textId="77777777" w:rsidR="00AE5C8C" w:rsidRPr="0065598E" w:rsidRDefault="00AE5C8C" w:rsidP="004B2662">
                      <w:pPr>
                        <w:spacing w:after="0" w:line="240" w:lineRule="auto"/>
                        <w:rPr>
                          <w:rFonts w:ascii="Times New Roman" w:hAnsi="Times New Roman"/>
                          <w:sz w:val="20"/>
                          <w:szCs w:val="16"/>
                        </w:rPr>
                      </w:pPr>
                    </w:p>
                  </w:txbxContent>
                </v:textbox>
              </v:shape>
            </w:pict>
          </mc:Fallback>
        </mc:AlternateContent>
      </w:r>
      <w:r w:rsidR="007F4FCA">
        <w:rPr>
          <w:rFonts w:ascii="Times New Roman" w:eastAsia="Times New Roman" w:hAnsi="Times New Roman"/>
          <w:b/>
          <w:bCs/>
          <w:noProof/>
          <w:color w:val="003296"/>
          <w:kern w:val="36"/>
          <w:sz w:val="24"/>
          <w:szCs w:val="20"/>
          <w:lang w:eastAsia="en-IN"/>
        </w:rPr>
        <mc:AlternateContent>
          <mc:Choice Requires="wps">
            <w:drawing>
              <wp:anchor distT="4294967295" distB="4294967295" distL="114300" distR="114300" simplePos="0" relativeHeight="251664384" behindDoc="0" locked="0" layoutInCell="1" allowOverlap="1" wp14:anchorId="54CC0818" wp14:editId="325F710A">
                <wp:simplePos x="0" y="0"/>
                <wp:positionH relativeFrom="column">
                  <wp:posOffset>-68580</wp:posOffset>
                </wp:positionH>
                <wp:positionV relativeFrom="paragraph">
                  <wp:posOffset>-1</wp:posOffset>
                </wp:positionV>
                <wp:extent cx="629793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605FAF"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0" to="4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" strokecolor="#4f81bd [3204]">
                <o:lock v:ext="edit" shapetype="f"/>
              </v:line>
            </w:pict>
          </mc:Fallback>
        </mc:AlternateContent>
      </w:r>
      <w:r w:rsidR="00DB5B70">
        <w:rPr>
          <w:rFonts w:ascii="Times New Roman" w:eastAsia="Times New Roman" w:hAnsi="Times New Roman"/>
          <w:b/>
          <w:bCs/>
          <w:color w:val="003296"/>
          <w:kern w:val="36"/>
          <w:sz w:val="28"/>
          <w:szCs w:val="24"/>
          <w:lang w:eastAsia="en-IN"/>
        </w:rPr>
        <w:t xml:space="preserve">Original </w:t>
      </w:r>
      <w:r w:rsidR="00C244E0" w:rsidRPr="00D83D29">
        <w:rPr>
          <w:rFonts w:ascii="Times New Roman" w:eastAsia="Times New Roman" w:hAnsi="Times New Roman"/>
          <w:b/>
          <w:bCs/>
          <w:color w:val="003296"/>
          <w:kern w:val="36"/>
          <w:sz w:val="28"/>
          <w:szCs w:val="24"/>
          <w:lang w:eastAsia="en-IN"/>
        </w:rPr>
        <w:t>Research</w:t>
      </w:r>
      <w:r w:rsidR="009E360C" w:rsidRPr="00D83D29">
        <w:rPr>
          <w:rFonts w:ascii="Times New Roman" w:eastAsia="Times New Roman" w:hAnsi="Times New Roman"/>
          <w:b/>
          <w:bCs/>
          <w:color w:val="003296"/>
          <w:kern w:val="36"/>
          <w:sz w:val="28"/>
          <w:szCs w:val="24"/>
          <w:lang w:eastAsia="en-IN"/>
        </w:rPr>
        <w:t xml:space="preserve"> Article</w:t>
      </w:r>
    </w:p>
    <w:p w14:paraId="5EE05599" w14:textId="6333DF4C" w:rsidR="000827D0" w:rsidRPr="00CC54FB" w:rsidRDefault="00D30919" w:rsidP="00CC54FB">
      <w:pPr>
        <w:pStyle w:val="AT"/>
        <w:rPr>
          <w:lang w:val="en-IN"/>
        </w:rPr>
      </w:pPr>
      <w:r w:rsidRPr="00D30919">
        <w:rPr>
          <w:lang w:val="en-IN"/>
        </w:rPr>
        <w:t xml:space="preserve">The use of atherogenic </w:t>
      </w:r>
      <w:r w:rsidR="00362175" w:rsidRPr="00362175">
        <w:rPr>
          <w:lang w:val="en-IN"/>
        </w:rPr>
        <w:t>indices</w:t>
      </w:r>
      <w:r w:rsidRPr="00D30919">
        <w:rPr>
          <w:lang w:val="en-IN"/>
        </w:rPr>
        <w:t xml:space="preserve"> as a useful marker to predict cardiovascular risk in patients with </w:t>
      </w:r>
      <w:proofErr w:type="spellStart"/>
      <w:r w:rsidRPr="00D30919">
        <w:rPr>
          <w:lang w:val="en-IN"/>
        </w:rPr>
        <w:t>spondyloarthritis</w:t>
      </w:r>
      <w:proofErr w:type="spellEnd"/>
    </w:p>
    <w:p w14:paraId="5F40AC3E" w14:textId="74CD0908" w:rsidR="000827D0" w:rsidRPr="00093432" w:rsidRDefault="00D30919" w:rsidP="00D30919">
      <w:pPr>
        <w:pStyle w:val="Author"/>
      </w:pPr>
      <w:r>
        <w:t>Deepti Joy*, P. S. Arul Rajamurugan, R. Ramesh, S. Mythili</w:t>
      </w:r>
      <w:r w:rsidR="007F527B" w:rsidRPr="007F1BD1">
        <w:t xml:space="preserve"> </w:t>
      </w:r>
    </w:p>
    <w:p w14:paraId="4F1CA24F" w14:textId="77777777" w:rsidR="00D33916" w:rsidRPr="000827D0" w:rsidRDefault="008C7CD5" w:rsidP="000827D0">
      <w:pPr>
        <w:spacing w:before="240" w:line="240" w:lineRule="auto"/>
        <w:jc w:val="center"/>
        <w:rPr>
          <w:rFonts w:ascii="Times New Roman" w:eastAsia="Times New Roman" w:hAnsi="Times New Roman"/>
          <w:b/>
          <w:bCs/>
          <w:kern w:val="36"/>
          <w:sz w:val="24"/>
          <w:szCs w:val="20"/>
          <w:lang w:eastAsia="en-IN"/>
        </w:rPr>
      </w:pPr>
      <w:r>
        <w:rPr>
          <w:b/>
          <w:bCs/>
          <w:noProof/>
          <w:sz w:val="28"/>
          <w:szCs w:val="24"/>
          <w:lang w:eastAsia="en-IN"/>
        </w:rPr>
        <mc:AlternateContent>
          <mc:Choice Requires="wps">
            <w:drawing>
              <wp:anchor distT="0" distB="0" distL="114300" distR="114300" simplePos="0" relativeHeight="251653120" behindDoc="0" locked="0" layoutInCell="1" allowOverlap="1" wp14:anchorId="12804AD4" wp14:editId="5EC35159">
                <wp:simplePos x="0" y="0"/>
                <wp:positionH relativeFrom="column">
                  <wp:posOffset>-13335</wp:posOffset>
                </wp:positionH>
                <wp:positionV relativeFrom="paragraph">
                  <wp:posOffset>77944</wp:posOffset>
                </wp:positionV>
                <wp:extent cx="6257925" cy="1897039"/>
                <wp:effectExtent l="0" t="0" r="9525"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897039"/>
                        </a:xfrm>
                        <a:prstGeom prst="rect">
                          <a:avLst/>
                        </a:prstGeom>
                        <a:solidFill>
                          <a:srgbClr val="FFFFFF"/>
                        </a:solidFill>
                        <a:ln w="6350" cap="sq">
                          <a:noFill/>
                          <a:round/>
                          <a:headEnd/>
                          <a:tailEnd/>
                        </a:ln>
                      </wps:spPr>
                      <wps:txbx>
                        <w:txbxContent>
                          <w:p w14:paraId="745EB343" w14:textId="79B618FC" w:rsidR="00AE5C8C" w:rsidRPr="00A76535" w:rsidRDefault="00AE5C8C" w:rsidP="007A7D4F">
                            <w:pPr>
                              <w:pStyle w:val="affiliation"/>
                              <w:jc w:val="both"/>
                            </w:pPr>
                            <w:r w:rsidRPr="00D30919">
                              <w:t>Institute of Rheumatology, Madras Medical College, Chennai, Tamil Nadu, India</w:t>
                            </w:r>
                            <w:r w:rsidRPr="00A76535">
                              <w:rPr>
                                <w:rFonts w:eastAsiaTheme="minorHAnsi"/>
                                <w:color w:val="000000" w:themeColor="text1"/>
                                <w:sz w:val="24"/>
                                <w:szCs w:val="24"/>
                              </w:rPr>
                              <w:t xml:space="preserve"> </w:t>
                            </w:r>
                          </w:p>
                          <w:p w14:paraId="70101523" w14:textId="77777777" w:rsidR="00AE5C8C" w:rsidRPr="0008180F" w:rsidRDefault="00AE5C8C" w:rsidP="0008180F">
                            <w:pPr>
                              <w:pStyle w:val="affiliation"/>
                              <w:rPr>
                                <w:lang w:val="en-US"/>
                              </w:rPr>
                            </w:pPr>
                            <w:r>
                              <w:rPr>
                                <w:lang w:val="en-US"/>
                              </w:rPr>
                              <w:t xml:space="preserve"> </w:t>
                            </w:r>
                          </w:p>
                          <w:p w14:paraId="3407CD09" w14:textId="4EEE4628" w:rsidR="00AE5C8C" w:rsidRPr="00AC5949" w:rsidRDefault="00AE5C8C"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w:t>
                            </w:r>
                            <w:r w:rsidR="00404288">
                              <w:rPr>
                                <w:rFonts w:ascii="Times New Roman" w:hAnsi="Times New Roman"/>
                                <w:sz w:val="20"/>
                                <w:szCs w:val="20"/>
                              </w:rPr>
                              <w:t>05</w:t>
                            </w:r>
                            <w:r>
                              <w:rPr>
                                <w:rFonts w:ascii="Times New Roman" w:hAnsi="Times New Roman"/>
                                <w:sz w:val="20"/>
                                <w:szCs w:val="20"/>
                              </w:rPr>
                              <w:t xml:space="preserve"> October 2023</w:t>
                            </w:r>
                          </w:p>
                          <w:p w14:paraId="2A51ACB6" w14:textId="41FCD956" w:rsidR="00AE5C8C" w:rsidRDefault="00AE5C8C" w:rsidP="005874B4">
                            <w:pPr>
                              <w:spacing w:after="0" w:line="240" w:lineRule="auto"/>
                              <w:rPr>
                                <w:rFonts w:ascii="Times New Roman" w:hAnsi="Times New Roman"/>
                                <w:sz w:val="20"/>
                                <w:szCs w:val="20"/>
                              </w:rPr>
                            </w:pPr>
                            <w:r w:rsidRPr="00AC5949">
                              <w:rPr>
                                <w:rFonts w:ascii="Times New Roman" w:hAnsi="Times New Roman"/>
                                <w:b/>
                                <w:sz w:val="20"/>
                                <w:szCs w:val="20"/>
                              </w:rPr>
                              <w:t xml:space="preserve">Accepted: </w:t>
                            </w:r>
                            <w:r>
                              <w:rPr>
                                <w:rFonts w:ascii="Times New Roman" w:hAnsi="Times New Roman"/>
                                <w:sz w:val="20"/>
                                <w:szCs w:val="20"/>
                              </w:rPr>
                              <w:t>18 October 2023</w:t>
                            </w:r>
                          </w:p>
                          <w:p w14:paraId="1A5B7ED0" w14:textId="77777777" w:rsidR="00AE5C8C" w:rsidRDefault="00AE5C8C" w:rsidP="005874B4">
                            <w:pPr>
                              <w:spacing w:after="0" w:line="240" w:lineRule="auto"/>
                              <w:rPr>
                                <w:rFonts w:ascii="Times New Roman" w:hAnsi="Times New Roman"/>
                                <w:sz w:val="20"/>
                                <w:szCs w:val="20"/>
                              </w:rPr>
                            </w:pPr>
                          </w:p>
                          <w:p w14:paraId="431CA9FC" w14:textId="77777777" w:rsidR="00AE5C8C" w:rsidRPr="001E1999" w:rsidRDefault="00AE5C8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3DB1F9C5" w14:textId="1597C16B" w:rsidR="00AE5C8C" w:rsidRDefault="00AE5C8C" w:rsidP="00C1578E">
                            <w:pPr>
                              <w:pStyle w:val="email"/>
                            </w:pPr>
                            <w:proofErr w:type="spellStart"/>
                            <w:r>
                              <w:t>Dr.</w:t>
                            </w:r>
                            <w:proofErr w:type="spellEnd"/>
                            <w:r w:rsidRPr="001478D1">
                              <w:t xml:space="preserve"> </w:t>
                            </w:r>
                            <w:r w:rsidRPr="00D30919">
                              <w:t>Deepti Joy</w:t>
                            </w:r>
                            <w:r>
                              <w:t>,</w:t>
                            </w:r>
                          </w:p>
                          <w:p w14:paraId="6FC7D082" w14:textId="1A489918" w:rsidR="00AE5C8C" w:rsidRDefault="00AE5C8C" w:rsidP="00C1578E">
                            <w:pPr>
                              <w:pStyle w:val="email"/>
                            </w:pPr>
                            <w:r>
                              <w:t xml:space="preserve">E-mail: </w:t>
                            </w:r>
                            <w:r w:rsidRPr="00D30919">
                              <w:t>deeptielizabethjoy@gmail.com</w:t>
                            </w:r>
                          </w:p>
                          <w:p w14:paraId="5F96F22D" w14:textId="77777777" w:rsidR="00AE5C8C" w:rsidRDefault="00AE5C8C" w:rsidP="005874B4">
                            <w:pPr>
                              <w:spacing w:after="0" w:line="240" w:lineRule="auto"/>
                              <w:rPr>
                                <w:rFonts w:ascii="Times New Roman" w:hAnsi="Times New Roman"/>
                                <w:sz w:val="20"/>
                                <w:szCs w:val="20"/>
                              </w:rPr>
                            </w:pPr>
                          </w:p>
                          <w:p w14:paraId="3CD5985E" w14:textId="77777777" w:rsidR="00AE5C8C" w:rsidRPr="00480148" w:rsidRDefault="00AE5C8C"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804AD4" id="_x0000_t202" coordsize="21600,21600" o:spt="202" path="m,l,21600r21600,l21600,xe">
                <v:stroke joinstyle="miter"/>
                <v:path gradientshapeok="t" o:connecttype="rect"/>
              </v:shapetype>
              <v:shape id="Text Box 2" o:spid="_x0000_s1027" type="#_x0000_t202" style="position:absolute;left:0;text-align:left;margin-left:-1.05pt;margin-top:6.15pt;width:492.75pt;height:14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" stroked="f" strokeweight=".5pt">
                <v:stroke joinstyle="round" endcap="square"/>
                <v:textbox>
                  <w:txbxContent>
                    <w:p w14:paraId="745EB343" w14:textId="79B618FC" w:rsidR="00AE5C8C" w:rsidRPr="00A76535" w:rsidRDefault="00AE5C8C" w:rsidP="007A7D4F">
                      <w:pPr>
                        <w:pStyle w:val="affiliation"/>
                        <w:jc w:val="both"/>
                      </w:pPr>
                      <w:r w:rsidRPr="00D30919">
                        <w:t>Institute of Rheumatology, Madras Medical College, Chennai, Tamil Nadu, India</w:t>
                      </w:r>
                      <w:r w:rsidRPr="00A76535">
                        <w:rPr>
                          <w:rFonts w:eastAsiaTheme="minorHAnsi"/>
                          <w:color w:val="000000" w:themeColor="text1"/>
                          <w:sz w:val="24"/>
                          <w:szCs w:val="24"/>
                        </w:rPr>
                        <w:t xml:space="preserve"> </w:t>
                      </w:r>
                    </w:p>
                    <w:p w14:paraId="70101523" w14:textId="77777777" w:rsidR="00AE5C8C" w:rsidRPr="0008180F" w:rsidRDefault="00AE5C8C" w:rsidP="0008180F">
                      <w:pPr>
                        <w:pStyle w:val="affiliation"/>
                        <w:rPr>
                          <w:lang w:val="en-US"/>
                        </w:rPr>
                      </w:pPr>
                      <w:r>
                        <w:rPr>
                          <w:lang w:val="en-US"/>
                        </w:rPr>
                        <w:t xml:space="preserve"> </w:t>
                      </w:r>
                    </w:p>
                    <w:p w14:paraId="3407CD09" w14:textId="4EEE4628" w:rsidR="00AE5C8C" w:rsidRPr="00AC5949" w:rsidRDefault="00AE5C8C"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w:t>
                      </w:r>
                      <w:r w:rsidR="00404288">
                        <w:rPr>
                          <w:rFonts w:ascii="Times New Roman" w:hAnsi="Times New Roman"/>
                          <w:sz w:val="20"/>
                          <w:szCs w:val="20"/>
                        </w:rPr>
                        <w:t>05</w:t>
                      </w:r>
                      <w:r>
                        <w:rPr>
                          <w:rFonts w:ascii="Times New Roman" w:hAnsi="Times New Roman"/>
                          <w:sz w:val="20"/>
                          <w:szCs w:val="20"/>
                        </w:rPr>
                        <w:t xml:space="preserve"> October 2023</w:t>
                      </w:r>
                    </w:p>
                    <w:p w14:paraId="2A51ACB6" w14:textId="41FCD956" w:rsidR="00AE5C8C" w:rsidRDefault="00AE5C8C" w:rsidP="005874B4">
                      <w:pPr>
                        <w:spacing w:after="0" w:line="240" w:lineRule="auto"/>
                        <w:rPr>
                          <w:rFonts w:ascii="Times New Roman" w:hAnsi="Times New Roman"/>
                          <w:sz w:val="20"/>
                          <w:szCs w:val="20"/>
                        </w:rPr>
                      </w:pPr>
                      <w:r w:rsidRPr="00AC5949">
                        <w:rPr>
                          <w:rFonts w:ascii="Times New Roman" w:hAnsi="Times New Roman"/>
                          <w:b/>
                          <w:sz w:val="20"/>
                          <w:szCs w:val="20"/>
                        </w:rPr>
                        <w:t xml:space="preserve">Accepted: </w:t>
                      </w:r>
                      <w:r>
                        <w:rPr>
                          <w:rFonts w:ascii="Times New Roman" w:hAnsi="Times New Roman"/>
                          <w:sz w:val="20"/>
                          <w:szCs w:val="20"/>
                        </w:rPr>
                        <w:t>18 October 2023</w:t>
                      </w:r>
                    </w:p>
                    <w:p w14:paraId="1A5B7ED0" w14:textId="77777777" w:rsidR="00AE5C8C" w:rsidRDefault="00AE5C8C" w:rsidP="005874B4">
                      <w:pPr>
                        <w:spacing w:after="0" w:line="240" w:lineRule="auto"/>
                        <w:rPr>
                          <w:rFonts w:ascii="Times New Roman" w:hAnsi="Times New Roman"/>
                          <w:sz w:val="20"/>
                          <w:szCs w:val="20"/>
                        </w:rPr>
                      </w:pPr>
                    </w:p>
                    <w:p w14:paraId="431CA9FC" w14:textId="77777777" w:rsidR="00AE5C8C" w:rsidRPr="001E1999" w:rsidRDefault="00AE5C8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3DB1F9C5" w14:textId="1597C16B" w:rsidR="00AE5C8C" w:rsidRDefault="00AE5C8C" w:rsidP="00C1578E">
                      <w:pPr>
                        <w:pStyle w:val="email"/>
                      </w:pPr>
                      <w:r>
                        <w:t>Dr.</w:t>
                      </w:r>
                      <w:r w:rsidRPr="001478D1">
                        <w:t xml:space="preserve"> </w:t>
                      </w:r>
                      <w:r w:rsidRPr="00D30919">
                        <w:t>Deepti Joy</w:t>
                      </w:r>
                      <w:r>
                        <w:t>,</w:t>
                      </w:r>
                    </w:p>
                    <w:p w14:paraId="6FC7D082" w14:textId="1A489918" w:rsidR="00AE5C8C" w:rsidRDefault="00AE5C8C" w:rsidP="00C1578E">
                      <w:pPr>
                        <w:pStyle w:val="email"/>
                      </w:pPr>
                      <w:r>
                        <w:t xml:space="preserve">E-mail: </w:t>
                      </w:r>
                      <w:r w:rsidRPr="00D30919">
                        <w:t>deeptielizabethjoy@gmail.com</w:t>
                      </w:r>
                    </w:p>
                    <w:p w14:paraId="5F96F22D" w14:textId="77777777" w:rsidR="00AE5C8C" w:rsidRDefault="00AE5C8C" w:rsidP="005874B4">
                      <w:pPr>
                        <w:spacing w:after="0" w:line="240" w:lineRule="auto"/>
                        <w:rPr>
                          <w:rFonts w:ascii="Times New Roman" w:hAnsi="Times New Roman"/>
                          <w:sz w:val="20"/>
                          <w:szCs w:val="20"/>
                        </w:rPr>
                      </w:pPr>
                    </w:p>
                    <w:p w14:paraId="3CD5985E" w14:textId="77777777" w:rsidR="00AE5C8C" w:rsidRPr="00480148" w:rsidRDefault="00AE5C8C"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v:textbox>
              </v:shape>
            </w:pict>
          </mc:Fallback>
        </mc:AlternateContent>
      </w:r>
      <w:r>
        <w:rPr>
          <w:b/>
          <w:bCs/>
          <w:noProof/>
          <w:color w:val="400040"/>
          <w:lang w:eastAsia="en-IN"/>
        </w:rPr>
        <mc:AlternateContent>
          <mc:Choice Requires="wps">
            <w:drawing>
              <wp:anchor distT="4294967295" distB="4294967295" distL="114300" distR="114300" simplePos="0" relativeHeight="251657216" behindDoc="0" locked="0" layoutInCell="1" allowOverlap="1" wp14:anchorId="0614B53A" wp14:editId="63792924">
                <wp:simplePos x="0" y="0"/>
                <wp:positionH relativeFrom="column">
                  <wp:posOffset>102870</wp:posOffset>
                </wp:positionH>
                <wp:positionV relativeFrom="paragraph">
                  <wp:posOffset>1744</wp:posOffset>
                </wp:positionV>
                <wp:extent cx="3549650" cy="0"/>
                <wp:effectExtent l="0" t="0" r="317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965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25BB2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15pt" to="28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" strokecolor="#4f81bd [3204]">
                <o:lock v:ext="edit" shapetype="f"/>
              </v:line>
            </w:pict>
          </mc:Fallback>
        </mc:AlternateContent>
      </w:r>
    </w:p>
    <w:p w14:paraId="188B9E19"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F3CE00D"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1D6C2AB1"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9AE8537"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173982AC" w14:textId="57DE6EF3" w:rsidR="00FB79F0" w:rsidRDefault="00907803" w:rsidP="007D49D1">
      <w:pPr>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2096" behindDoc="0" locked="0" layoutInCell="1" allowOverlap="1" wp14:anchorId="3A2C3753" wp14:editId="37600B17">
                <wp:simplePos x="0" y="0"/>
                <wp:positionH relativeFrom="column">
                  <wp:posOffset>11793</wp:posOffset>
                </wp:positionH>
                <wp:positionV relativeFrom="paragraph">
                  <wp:posOffset>265796</wp:posOffset>
                </wp:positionV>
                <wp:extent cx="6215380" cy="3178395"/>
                <wp:effectExtent l="0" t="0" r="1397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3178395"/>
                        </a:xfrm>
                        <a:prstGeom prst="rect">
                          <a:avLst/>
                        </a:prstGeom>
                        <a:noFill/>
                        <a:ln w="12700" cap="flat">
                          <a:solidFill>
                            <a:schemeClr val="accent1"/>
                          </a:solidFill>
                          <a:round/>
                          <a:headEnd/>
                          <a:tailEnd/>
                        </a:ln>
                      </wps:spPr>
                      <wps:txbx>
                        <w:txbxContent>
                          <w:p w14:paraId="4DCFA432" w14:textId="77777777" w:rsidR="00AE5C8C" w:rsidRDefault="00AE5C8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31DB028F" w14:textId="77777777" w:rsidR="00AE5C8C" w:rsidRPr="00211E5E" w:rsidRDefault="00AE5C8C" w:rsidP="00FB6437">
                            <w:pPr>
                              <w:spacing w:after="0" w:line="240" w:lineRule="auto"/>
                              <w:jc w:val="both"/>
                              <w:rPr>
                                <w:rFonts w:ascii="Times New Roman" w:hAnsi="Times New Roman"/>
                                <w:b/>
                                <w:bCs/>
                                <w:color w:val="003296"/>
                                <w:sz w:val="20"/>
                                <w:szCs w:val="20"/>
                              </w:rPr>
                            </w:pPr>
                          </w:p>
                          <w:p w14:paraId="39FDED1C" w14:textId="61FBEBD5" w:rsidR="00AE5C8C" w:rsidRDefault="00AE5C8C" w:rsidP="0053556B">
                            <w:pPr>
                              <w:pStyle w:val="abstract"/>
                              <w:spacing w:after="0"/>
                            </w:pPr>
                            <w:r>
                              <w:rPr>
                                <w:b/>
                              </w:rPr>
                              <w:t>Background:</w:t>
                            </w:r>
                            <w:r>
                              <w:t xml:space="preserve"> </w:t>
                            </w:r>
                            <w:r w:rsidRPr="00907803">
                              <w:rPr>
                                <w:bCs/>
                                <w:lang w:val="en-IN"/>
                              </w:rPr>
                              <w:t xml:space="preserve">The atherogenic index of plasma (AIP), linked to cholesterol esterification and its correlation with small dense </w:t>
                            </w:r>
                            <w:r w:rsidR="00404288" w:rsidRPr="00907803">
                              <w:rPr>
                                <w:bCs/>
                                <w:lang w:val="en-IN"/>
                              </w:rPr>
                              <w:t>low-density</w:t>
                            </w:r>
                            <w:r w:rsidRPr="00907803">
                              <w:rPr>
                                <w:bCs/>
                                <w:lang w:val="en-IN"/>
                              </w:rPr>
                              <w:t xml:space="preserve"> lipoprotein (LDL) levels in the blood, can predict atherosclerosis and coronary heart disease.</w:t>
                            </w:r>
                            <w:r w:rsidRPr="003C2572">
                              <w:rPr>
                                <w:lang w:val="en-IN"/>
                              </w:rPr>
                              <w:t xml:space="preserve"> </w:t>
                            </w:r>
                          </w:p>
                          <w:p w14:paraId="5D7E17BF" w14:textId="375EF783" w:rsidR="00AE5C8C" w:rsidRDefault="00AE5C8C" w:rsidP="00FB6437">
                            <w:pPr>
                              <w:pStyle w:val="abstract"/>
                              <w:spacing w:after="0"/>
                              <w:rPr>
                                <w:lang w:val="en-IN"/>
                              </w:rPr>
                            </w:pPr>
                            <w:r>
                              <w:rPr>
                                <w:b/>
                              </w:rPr>
                              <w:t>Methods:</w:t>
                            </w:r>
                            <w:r>
                              <w:t xml:space="preserve"> </w:t>
                            </w:r>
                            <w:r w:rsidRPr="00907803">
                              <w:rPr>
                                <w:lang w:val="en-IN"/>
                              </w:rPr>
                              <w:t xml:space="preserve">The study examined 45 </w:t>
                            </w:r>
                            <w:proofErr w:type="spellStart"/>
                            <w:r w:rsidRPr="00907803">
                              <w:rPr>
                                <w:lang w:val="en-IN"/>
                              </w:rPr>
                              <w:t>SpA</w:t>
                            </w:r>
                            <w:proofErr w:type="spellEnd"/>
                            <w:r w:rsidRPr="00907803">
                              <w:rPr>
                                <w:lang w:val="en-IN"/>
                              </w:rPr>
                              <w:t xml:space="preserve"> patients from the Institute of Rheumatology, RGGGH, and MMC. They underwent baseline assessments, lipid profiles, measurements, and blood tests. Atherogenic indices (AIP, Castelli's Risk I and II, atherogenic coefficient) were calculated and defined using thresholds</w:t>
                            </w:r>
                            <w:r w:rsidRPr="002D7736">
                              <w:rPr>
                                <w:lang w:val="en-IN"/>
                              </w:rPr>
                              <w:t>.</w:t>
                            </w:r>
                            <w:r w:rsidRPr="00B452B0">
                              <w:rPr>
                                <w:lang w:val="en-IN"/>
                              </w:rPr>
                              <w:t xml:space="preserve"> </w:t>
                            </w:r>
                          </w:p>
                          <w:p w14:paraId="4961ECA7" w14:textId="48F5F469" w:rsidR="00AE5C8C" w:rsidRPr="006C4F1E" w:rsidRDefault="00AE5C8C" w:rsidP="006C4F1E">
                            <w:pPr>
                              <w:pStyle w:val="abstract"/>
                              <w:spacing w:after="0"/>
                              <w:rPr>
                                <w:bCs/>
                              </w:rPr>
                            </w:pPr>
                            <w:r>
                              <w:rPr>
                                <w:b/>
                              </w:rPr>
                              <w:t>Results:</w:t>
                            </w:r>
                            <w:r>
                              <w:t xml:space="preserve"> </w:t>
                            </w:r>
                            <w:r w:rsidRPr="00907803">
                              <w:rPr>
                                <w:bCs/>
                              </w:rPr>
                              <w:t>In this study, most patients were males (68.9%) with a mean age of 37.73. Primary ankylosing spondylitis (AS) was (62.2%), and HLAB27 was positive in 33.3% of cases. Elevated AI was prevalent: AIP&gt;0.11 (51.1%), CR-I&gt;3.5 (males) or &gt;3.0 (females) (77.8%), CR-II&gt;3.0 (26.7%), and AC&gt;3.0 (44.4%). Significant correlations were found between AIP and waist-hip ratio (p=0.045) and AIP and fasting blood sugar [FBS] (p=0.023). High AIP was significantly associated with metabolic syndrome (21.7%) but not high disease activity. CR-I was associated with elevated FBS levels (p=0.033). CR-II was linked to higher uric acid levels (p=0.043) and current TNF inhibitor use (p=0.041), and AC showed no significant associations with the assessed factors</w:t>
                            </w:r>
                            <w:r w:rsidRPr="006C4F1E">
                              <w:rPr>
                                <w:bCs/>
                                <w:lang w:val="en-IN"/>
                              </w:rPr>
                              <w:t>.</w:t>
                            </w:r>
                            <w:r w:rsidRPr="00B452B0">
                              <w:rPr>
                                <w:bCs/>
                                <w:lang w:val="en-IN"/>
                              </w:rPr>
                              <w:t xml:space="preserve"> </w:t>
                            </w:r>
                          </w:p>
                          <w:p w14:paraId="4CC09C95" w14:textId="16CFF4FD" w:rsidR="00AE5C8C" w:rsidRDefault="00AE5C8C" w:rsidP="00FB6437">
                            <w:pPr>
                              <w:pStyle w:val="abstract"/>
                              <w:spacing w:after="0"/>
                            </w:pPr>
                            <w:r>
                              <w:rPr>
                                <w:b/>
                              </w:rPr>
                              <w:t>Conclusions:</w:t>
                            </w:r>
                            <w:r>
                              <w:t xml:space="preserve"> </w:t>
                            </w:r>
                            <w:r w:rsidRPr="00804A2D">
                              <w:rPr>
                                <w:bCs/>
                                <w:lang w:val="en-IN"/>
                              </w:rPr>
                              <w:t xml:space="preserve">This study underscores AI's role in assessing cardiovascular risk in </w:t>
                            </w:r>
                            <w:proofErr w:type="spellStart"/>
                            <w:r w:rsidRPr="00804A2D">
                              <w:rPr>
                                <w:bCs/>
                                <w:lang w:val="en-IN"/>
                              </w:rPr>
                              <w:t>spondyloarthritis</w:t>
                            </w:r>
                            <w:proofErr w:type="spellEnd"/>
                            <w:r w:rsidRPr="00804A2D">
                              <w:rPr>
                                <w:bCs/>
                                <w:lang w:val="en-IN"/>
                              </w:rPr>
                              <w:t xml:space="preserve"> patients. AIP, CR-I, and CR-II provide vital risk assessment and management insights. AIP effectively identifies metabolic syndrome, while increased Castelli's risk index II warrants further investigation in a broader population, especially among TNF inhibitor users</w:t>
                            </w:r>
                            <w:r w:rsidRPr="00FA624C">
                              <w:rPr>
                                <w:bCs/>
                                <w:lang w:val="en-IN"/>
                              </w:rPr>
                              <w:t>.</w:t>
                            </w:r>
                            <w:r w:rsidRPr="00B455DD">
                              <w:rPr>
                                <w:bCs/>
                                <w:lang w:val="en-IN"/>
                              </w:rPr>
                              <w:t xml:space="preserve"> </w:t>
                            </w:r>
                          </w:p>
                          <w:p w14:paraId="1443D8C6" w14:textId="77777777" w:rsidR="00AE5C8C" w:rsidRPr="00C208DA" w:rsidRDefault="00AE5C8C" w:rsidP="00FB6437">
                            <w:pPr>
                              <w:pStyle w:val="abstract"/>
                              <w:spacing w:after="0"/>
                            </w:pPr>
                          </w:p>
                          <w:p w14:paraId="09DFD2D7" w14:textId="1239CB3D" w:rsidR="00AE5C8C" w:rsidRPr="00C1578E" w:rsidRDefault="00AE5C8C" w:rsidP="00FB6437">
                            <w:pPr>
                              <w:pStyle w:val="keywords"/>
                            </w:pPr>
                            <w:r>
                              <w:rPr>
                                <w:b/>
                              </w:rPr>
                              <w:t xml:space="preserve">Keywords: </w:t>
                            </w:r>
                            <w:r w:rsidRPr="00804A2D">
                              <w:rPr>
                                <w:lang w:val="en-IN"/>
                              </w:rPr>
                              <w:t xml:space="preserve">Atherogenic index, Cardiovascular risk, </w:t>
                            </w:r>
                            <w:proofErr w:type="spellStart"/>
                            <w:r w:rsidRPr="00804A2D">
                              <w:rPr>
                                <w:lang w:val="en-IN"/>
                              </w:rPr>
                              <w:t>Spondyloarthritis</w:t>
                            </w:r>
                            <w:proofErr w:type="spellEnd"/>
                            <w:r w:rsidRPr="00804A2D">
                              <w:rPr>
                                <w:lang w:val="en-IN"/>
                              </w:rPr>
                              <w:t>, Metabolic syndrome, TNF inhibitors, Castelli's risk index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2C3753" id="_x0000_s1028" type="#_x0000_t202" style="position:absolute;left:0;text-align:left;margin-left:.95pt;margin-top:20.95pt;width:489.4pt;height:25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" filled="f" strokecolor="#4f81bd [3204]" strokeweight="1pt">
                <v:stroke joinstyle="round"/>
                <v:textbox>
                  <w:txbxContent>
                    <w:p w14:paraId="4DCFA432" w14:textId="77777777" w:rsidR="00AE5C8C" w:rsidRDefault="00AE5C8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31DB028F" w14:textId="77777777" w:rsidR="00AE5C8C" w:rsidRPr="00211E5E" w:rsidRDefault="00AE5C8C" w:rsidP="00FB6437">
                      <w:pPr>
                        <w:spacing w:after="0" w:line="240" w:lineRule="auto"/>
                        <w:jc w:val="both"/>
                        <w:rPr>
                          <w:rFonts w:ascii="Times New Roman" w:hAnsi="Times New Roman"/>
                          <w:b/>
                          <w:bCs/>
                          <w:color w:val="003296"/>
                          <w:sz w:val="20"/>
                          <w:szCs w:val="20"/>
                        </w:rPr>
                      </w:pPr>
                    </w:p>
                    <w:p w14:paraId="39FDED1C" w14:textId="61FBEBD5" w:rsidR="00AE5C8C" w:rsidRDefault="00AE5C8C" w:rsidP="0053556B">
                      <w:pPr>
                        <w:pStyle w:val="abstract"/>
                        <w:spacing w:after="0"/>
                      </w:pPr>
                      <w:r>
                        <w:rPr>
                          <w:b/>
                        </w:rPr>
                        <w:t>Background:</w:t>
                      </w:r>
                      <w:r>
                        <w:t xml:space="preserve"> </w:t>
                      </w:r>
                      <w:r w:rsidRPr="00907803">
                        <w:rPr>
                          <w:bCs/>
                          <w:lang w:val="en-IN"/>
                        </w:rPr>
                        <w:t xml:space="preserve">The atherogenic index of plasma (AIP), linked to cholesterol esterification and its correlation with small dense </w:t>
                      </w:r>
                      <w:r w:rsidR="00404288" w:rsidRPr="00907803">
                        <w:rPr>
                          <w:bCs/>
                          <w:lang w:val="en-IN"/>
                        </w:rPr>
                        <w:t>low-density</w:t>
                      </w:r>
                      <w:r w:rsidRPr="00907803">
                        <w:rPr>
                          <w:bCs/>
                          <w:lang w:val="en-IN"/>
                        </w:rPr>
                        <w:t xml:space="preserve"> lipoprotein (LDL) levels in the blood, can predict atherosclerosis and coronary heart disease.</w:t>
                      </w:r>
                      <w:r w:rsidRPr="003C2572">
                        <w:rPr>
                          <w:lang w:val="en-IN"/>
                        </w:rPr>
                        <w:t xml:space="preserve"> </w:t>
                      </w:r>
                    </w:p>
                    <w:p w14:paraId="5D7E17BF" w14:textId="375EF783" w:rsidR="00AE5C8C" w:rsidRDefault="00AE5C8C" w:rsidP="00FB6437">
                      <w:pPr>
                        <w:pStyle w:val="abstract"/>
                        <w:spacing w:after="0"/>
                        <w:rPr>
                          <w:lang w:val="en-IN"/>
                        </w:rPr>
                      </w:pPr>
                      <w:r>
                        <w:rPr>
                          <w:b/>
                        </w:rPr>
                        <w:t>Methods:</w:t>
                      </w:r>
                      <w:r>
                        <w:t xml:space="preserve"> </w:t>
                      </w:r>
                      <w:r w:rsidRPr="00907803">
                        <w:rPr>
                          <w:lang w:val="en-IN"/>
                        </w:rPr>
                        <w:t>The study examined 45 SpA patients from the Institute of Rheumatology, RGGGH, and MMC. They underwent baseline assessments, lipid profiles, measurements, and blood tests. Atherogenic indices (AIP, Castelli's Risk I and II, atherogenic coefficient) were calculated and defined using thresholds</w:t>
                      </w:r>
                      <w:r w:rsidRPr="002D7736">
                        <w:rPr>
                          <w:lang w:val="en-IN"/>
                        </w:rPr>
                        <w:t>.</w:t>
                      </w:r>
                      <w:r w:rsidRPr="00B452B0">
                        <w:rPr>
                          <w:lang w:val="en-IN"/>
                        </w:rPr>
                        <w:t xml:space="preserve"> </w:t>
                      </w:r>
                    </w:p>
                    <w:p w14:paraId="4961ECA7" w14:textId="48F5F469" w:rsidR="00AE5C8C" w:rsidRPr="006C4F1E" w:rsidRDefault="00AE5C8C" w:rsidP="006C4F1E">
                      <w:pPr>
                        <w:pStyle w:val="abstract"/>
                        <w:spacing w:after="0"/>
                        <w:rPr>
                          <w:bCs/>
                        </w:rPr>
                      </w:pPr>
                      <w:r>
                        <w:rPr>
                          <w:b/>
                        </w:rPr>
                        <w:t>Results:</w:t>
                      </w:r>
                      <w:r>
                        <w:t xml:space="preserve"> </w:t>
                      </w:r>
                      <w:r w:rsidRPr="00907803">
                        <w:rPr>
                          <w:bCs/>
                        </w:rPr>
                        <w:t>In this study, most patients were males (68.9%) with a mean age of 37.73. Primary ankylosing spondylitis (AS) was (62.2%), and HLAB27 was positive in 33.3% of cases. Elevated AI was prevalent: AIP&gt;0.11 (51.1%), CR-I&gt;3.5 (males) or &gt;3.0 (females) (77.8%), CR-II&gt;3.0 (26.7%), and AC&gt;3.0 (44.4%). Significant correlations were found between AIP and waist-hip ratio (p=0.045) and AIP and fasting blood sugar [FBS] (p=0.023). High AIP was significantly associated with metabolic syndrome (21.7%) but not high disease activity. CR-I was associated with elevated FBS levels (p=0.033). CR-II was linked to higher uric acid levels (p=0.043) and current TNF inhibitor use (p=0.041), and AC showed no significant associations with the assessed factors</w:t>
                      </w:r>
                      <w:r w:rsidRPr="006C4F1E">
                        <w:rPr>
                          <w:bCs/>
                          <w:lang w:val="en-IN"/>
                        </w:rPr>
                        <w:t>.</w:t>
                      </w:r>
                      <w:r w:rsidRPr="00B452B0">
                        <w:rPr>
                          <w:bCs/>
                          <w:lang w:val="en-IN"/>
                        </w:rPr>
                        <w:t xml:space="preserve"> </w:t>
                      </w:r>
                    </w:p>
                    <w:p w14:paraId="4CC09C95" w14:textId="16CFF4FD" w:rsidR="00AE5C8C" w:rsidRDefault="00AE5C8C" w:rsidP="00FB6437">
                      <w:pPr>
                        <w:pStyle w:val="abstract"/>
                        <w:spacing w:after="0"/>
                      </w:pPr>
                      <w:r>
                        <w:rPr>
                          <w:b/>
                        </w:rPr>
                        <w:t>Conclusions:</w:t>
                      </w:r>
                      <w:r>
                        <w:t xml:space="preserve"> </w:t>
                      </w:r>
                      <w:r w:rsidRPr="00804A2D">
                        <w:rPr>
                          <w:bCs/>
                          <w:lang w:val="en-IN"/>
                        </w:rPr>
                        <w:t>This study underscores AI's role in assessing cardiovascular risk in spondyloarthritis patients. AIP, CR-I, and CR-II provide vital risk assessment and management insights. AIP effectively identifies metabolic syndrome, while increased Castelli's risk index II warrants further investigation in a broader population, especially among TNF inhibitor users</w:t>
                      </w:r>
                      <w:r w:rsidRPr="00FA624C">
                        <w:rPr>
                          <w:bCs/>
                          <w:lang w:val="en-IN"/>
                        </w:rPr>
                        <w:t>.</w:t>
                      </w:r>
                      <w:r w:rsidRPr="00B455DD">
                        <w:rPr>
                          <w:bCs/>
                          <w:lang w:val="en-IN"/>
                        </w:rPr>
                        <w:t xml:space="preserve"> </w:t>
                      </w:r>
                    </w:p>
                    <w:p w14:paraId="1443D8C6" w14:textId="77777777" w:rsidR="00AE5C8C" w:rsidRPr="00C208DA" w:rsidRDefault="00AE5C8C" w:rsidP="00FB6437">
                      <w:pPr>
                        <w:pStyle w:val="abstract"/>
                        <w:spacing w:after="0"/>
                      </w:pPr>
                    </w:p>
                    <w:p w14:paraId="09DFD2D7" w14:textId="1239CB3D" w:rsidR="00AE5C8C" w:rsidRPr="00C1578E" w:rsidRDefault="00AE5C8C" w:rsidP="00FB6437">
                      <w:pPr>
                        <w:pStyle w:val="keywords"/>
                      </w:pPr>
                      <w:r>
                        <w:rPr>
                          <w:b/>
                        </w:rPr>
                        <w:t xml:space="preserve">Keywords: </w:t>
                      </w:r>
                      <w:r w:rsidRPr="00804A2D">
                        <w:rPr>
                          <w:lang w:val="en-IN"/>
                        </w:rPr>
                        <w:t>Atherogenic index, Cardiovascular risk, Spondyloarthritis, Metabolic syndrome, TNF inhibitors, Castelli's risk index II</w:t>
                      </w:r>
                    </w:p>
                  </w:txbxContent>
                </v:textbox>
              </v:shape>
            </w:pict>
          </mc:Fallback>
        </mc:AlternateContent>
      </w:r>
    </w:p>
    <w:p w14:paraId="1456C559" w14:textId="5CDAFB10"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5FDD9809"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531E6DA8"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51619E72"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29086224"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41A9DA0B"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2C1E9F1B" w14:textId="77777777" w:rsidR="008C7CD5" w:rsidRDefault="008C7CD5" w:rsidP="007D49D1">
      <w:pPr>
        <w:spacing w:before="240" w:line="240" w:lineRule="auto"/>
        <w:jc w:val="both"/>
        <w:rPr>
          <w:rFonts w:ascii="Times New Roman" w:eastAsia="Times New Roman" w:hAnsi="Times New Roman"/>
          <w:b/>
          <w:bCs/>
          <w:kern w:val="36"/>
          <w:sz w:val="28"/>
          <w:szCs w:val="24"/>
          <w:lang w:eastAsia="en-IN"/>
        </w:rPr>
      </w:pPr>
    </w:p>
    <w:p w14:paraId="2DCA90BF" w14:textId="29369B52" w:rsidR="008C7CD5" w:rsidRPr="00804A2D" w:rsidRDefault="008C7CD5" w:rsidP="007D49D1">
      <w:pPr>
        <w:spacing w:before="240" w:line="240" w:lineRule="auto"/>
        <w:jc w:val="both"/>
        <w:rPr>
          <w:rFonts w:ascii="Times New Roman" w:eastAsia="Times New Roman" w:hAnsi="Times New Roman"/>
          <w:b/>
          <w:bCs/>
          <w:kern w:val="36"/>
          <w:sz w:val="14"/>
          <w:szCs w:val="24"/>
          <w:lang w:eastAsia="en-IN"/>
        </w:rPr>
      </w:pPr>
    </w:p>
    <w:p w14:paraId="2EF1570E" w14:textId="77777777" w:rsidR="00804A2D" w:rsidRPr="00804A2D" w:rsidRDefault="00804A2D" w:rsidP="007D49D1">
      <w:pPr>
        <w:spacing w:before="240" w:line="240" w:lineRule="auto"/>
        <w:jc w:val="both"/>
        <w:rPr>
          <w:rFonts w:ascii="Times New Roman" w:eastAsia="Times New Roman" w:hAnsi="Times New Roman"/>
          <w:b/>
          <w:bCs/>
          <w:kern w:val="36"/>
          <w:sz w:val="14"/>
          <w:szCs w:val="24"/>
          <w:lang w:eastAsia="en-IN"/>
        </w:rPr>
      </w:pPr>
    </w:p>
    <w:p w14:paraId="4F1FC33B" w14:textId="77777777" w:rsidR="008C7CD5" w:rsidRPr="00804A2D" w:rsidRDefault="008C7CD5" w:rsidP="007D49D1">
      <w:pPr>
        <w:spacing w:before="240" w:line="240" w:lineRule="auto"/>
        <w:jc w:val="both"/>
        <w:rPr>
          <w:rFonts w:ascii="Times New Roman" w:eastAsia="Times New Roman" w:hAnsi="Times New Roman"/>
          <w:b/>
          <w:bCs/>
          <w:kern w:val="36"/>
          <w:sz w:val="16"/>
          <w:szCs w:val="24"/>
          <w:lang w:eastAsia="en-IN"/>
        </w:rPr>
      </w:pPr>
    </w:p>
    <w:p w14:paraId="10919217" w14:textId="77777777" w:rsidR="008C7CD5" w:rsidRDefault="008C7CD5" w:rsidP="007D49D1">
      <w:pPr>
        <w:spacing w:before="240" w:line="240" w:lineRule="auto"/>
        <w:jc w:val="both"/>
        <w:rPr>
          <w:rFonts w:ascii="Times New Roman" w:hAnsi="Times New Roman"/>
          <w:b/>
          <w:color w:val="660066"/>
          <w:sz w:val="20"/>
          <w:szCs w:val="20"/>
        </w:rPr>
        <w:sectPr w:rsidR="008C7CD5" w:rsidSect="00087ACE">
          <w:headerReference w:type="default" r:id="rId8"/>
          <w:footerReference w:type="even" r:id="rId9"/>
          <w:footerReference w:type="default" r:id="rId10"/>
          <w:headerReference w:type="first" r:id="rId11"/>
          <w:footerReference w:type="first" r:id="rId12"/>
          <w:pgSz w:w="11906" w:h="16838" w:code="9"/>
          <w:pgMar w:top="1440" w:right="1021" w:bottom="1440" w:left="1021" w:header="709" w:footer="709" w:gutter="0"/>
          <w:pgNumType w:start="770"/>
          <w:cols w:space="567"/>
          <w:titlePg/>
          <w:docGrid w:linePitch="360"/>
        </w:sectPr>
      </w:pPr>
    </w:p>
    <w:p w14:paraId="3B9E4629" w14:textId="6D954E65" w:rsidR="00B84E4F" w:rsidRPr="00211E5E" w:rsidRDefault="003C232C" w:rsidP="005D5B68">
      <w:pPr>
        <w:pStyle w:val="H1"/>
      </w:pPr>
      <w:r w:rsidRPr="00211E5E">
        <w:rPr>
          <w:caps w:val="0"/>
        </w:rPr>
        <w:lastRenderedPageBreak/>
        <w:t>I</w:t>
      </w:r>
      <w:r w:rsidRPr="00720A49">
        <w:rPr>
          <w:caps w:val="0"/>
        </w:rPr>
        <w:t>NTRODUCTION</w:t>
      </w:r>
    </w:p>
    <w:p w14:paraId="1DCF4E47" w14:textId="77777777" w:rsidR="00804A2D" w:rsidRPr="00804A2D" w:rsidRDefault="00804A2D" w:rsidP="00804A2D">
      <w:pPr>
        <w:spacing w:before="240" w:line="240" w:lineRule="auto"/>
        <w:jc w:val="both"/>
        <w:rPr>
          <w:rFonts w:ascii="Times New Roman" w:hAnsi="Times New Roman"/>
          <w:sz w:val="20"/>
          <w:szCs w:val="20"/>
          <w:vertAlign w:val="superscript"/>
        </w:rPr>
      </w:pPr>
      <w:r w:rsidRPr="00804A2D">
        <w:rPr>
          <w:rFonts w:ascii="Times New Roman" w:hAnsi="Times New Roman"/>
          <w:sz w:val="20"/>
          <w:szCs w:val="20"/>
        </w:rPr>
        <w:t>Patients with inflammatory arthritis have an increased risk of cardiovascular (CV) complications compared to the general population. This increased CV risk is likely due to traditional risk factors and inflammation.</w:t>
      </w:r>
      <w:r w:rsidRPr="00804A2D">
        <w:rPr>
          <w:rFonts w:ascii="Times New Roman" w:hAnsi="Times New Roman"/>
          <w:sz w:val="20"/>
          <w:szCs w:val="20"/>
          <w:vertAlign w:val="superscript"/>
        </w:rPr>
        <w:t>1,2</w:t>
      </w:r>
      <w:r w:rsidRPr="00804A2D">
        <w:rPr>
          <w:rFonts w:ascii="Times New Roman" w:hAnsi="Times New Roman"/>
          <w:sz w:val="20"/>
          <w:szCs w:val="20"/>
        </w:rPr>
        <w:t xml:space="preserve"> In recent years, biological therapies have emerged as a significant treatment choice for individuals with inflammatory arthritis due to their efficacy in managing inflammation. Investigating the connection between the use of biologics and CVS risk in patients with inflammatory arthritis is a crucial area of study.</w:t>
      </w:r>
      <w:r w:rsidRPr="00804A2D">
        <w:rPr>
          <w:rFonts w:ascii="Times New Roman" w:hAnsi="Times New Roman"/>
          <w:sz w:val="20"/>
          <w:szCs w:val="20"/>
          <w:vertAlign w:val="superscript"/>
        </w:rPr>
        <w:t>3</w:t>
      </w:r>
      <w:r w:rsidRPr="00804A2D">
        <w:rPr>
          <w:rFonts w:ascii="Times New Roman" w:hAnsi="Times New Roman"/>
          <w:sz w:val="20"/>
          <w:szCs w:val="20"/>
        </w:rPr>
        <w:t xml:space="preserve"> In managing CVS risk in patients with inflammatory joint disorders, the European league </w:t>
      </w:r>
      <w:r w:rsidRPr="00804A2D">
        <w:rPr>
          <w:rFonts w:ascii="Times New Roman" w:hAnsi="Times New Roman"/>
          <w:sz w:val="20"/>
          <w:szCs w:val="20"/>
        </w:rPr>
        <w:lastRenderedPageBreak/>
        <w:t>against rheumatism (EULAR) has proposed research into determining CVS risk levels and the impact of anti-rheumatic drugs.</w:t>
      </w:r>
      <w:r w:rsidRPr="00804A2D">
        <w:rPr>
          <w:rFonts w:ascii="Times New Roman" w:hAnsi="Times New Roman"/>
          <w:sz w:val="20"/>
          <w:szCs w:val="20"/>
          <w:vertAlign w:val="superscript"/>
        </w:rPr>
        <w:t>4</w:t>
      </w:r>
    </w:p>
    <w:p w14:paraId="34FAB7AF" w14:textId="77777777" w:rsidR="00804A2D" w:rsidRPr="00804A2D" w:rsidRDefault="00804A2D" w:rsidP="00804A2D">
      <w:pPr>
        <w:spacing w:before="240" w:line="240" w:lineRule="auto"/>
        <w:jc w:val="both"/>
        <w:rPr>
          <w:rFonts w:ascii="Times New Roman" w:hAnsi="Times New Roman"/>
          <w:sz w:val="20"/>
          <w:szCs w:val="20"/>
          <w:vertAlign w:val="superscript"/>
        </w:rPr>
      </w:pP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xml:space="preserve">) encompasses a range of inflammatory conditions, with ankylosing spondylitis (AS) serving as the archetype. Research such as the ASAS-COMOSPA study has revealed that conventional CVS risk factors are prevalent among individuals with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and these patients are also susceptible to CVS events like stroke (1.3%) and myocardial infarction (MI) (2.7%).</w:t>
      </w:r>
      <w:r w:rsidRPr="00804A2D">
        <w:rPr>
          <w:rFonts w:ascii="Times New Roman" w:hAnsi="Times New Roman"/>
          <w:sz w:val="20"/>
          <w:szCs w:val="20"/>
          <w:vertAlign w:val="superscript"/>
        </w:rPr>
        <w:t xml:space="preserve">5 </w:t>
      </w:r>
      <w:r w:rsidRPr="00804A2D">
        <w:rPr>
          <w:rFonts w:ascii="Times New Roman" w:hAnsi="Times New Roman"/>
          <w:sz w:val="20"/>
          <w:szCs w:val="20"/>
        </w:rPr>
        <w:t xml:space="preserve">Studies in AS have demonstrated that CVS risk remains elevated in these patients even after accounting for </w:t>
      </w:r>
      <w:r w:rsidRPr="00804A2D">
        <w:rPr>
          <w:rFonts w:ascii="Times New Roman" w:hAnsi="Times New Roman"/>
          <w:sz w:val="20"/>
          <w:szCs w:val="20"/>
        </w:rPr>
        <w:lastRenderedPageBreak/>
        <w:t>traditional risk factors. It is imperative to quantify the excess CVS risk and identify potential factors that can be modified to inform the management of individuals with SpA.</w:t>
      </w:r>
      <w:r w:rsidRPr="00804A2D">
        <w:rPr>
          <w:rFonts w:ascii="Times New Roman" w:hAnsi="Times New Roman"/>
          <w:sz w:val="20"/>
          <w:szCs w:val="20"/>
          <w:vertAlign w:val="superscript"/>
        </w:rPr>
        <w:t>6</w:t>
      </w:r>
    </w:p>
    <w:p w14:paraId="11658FC4"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Rheumatoid arthritis, systemic lupus erythematosus and psoriatic arthritis have been recognised as independent contributors to cardiovascular risk. Notably, atherosclerosis-related diseases constitute the primary cause of mortality in individuals with rheumatoid arthritis.</w:t>
      </w:r>
      <w:r w:rsidRPr="00804A2D">
        <w:rPr>
          <w:rFonts w:ascii="Times New Roman" w:hAnsi="Times New Roman"/>
          <w:sz w:val="20"/>
          <w:szCs w:val="20"/>
          <w:vertAlign w:val="superscript"/>
        </w:rPr>
        <w:t>6</w:t>
      </w:r>
      <w:r w:rsidRPr="00804A2D">
        <w:rPr>
          <w:rFonts w:ascii="Times New Roman" w:hAnsi="Times New Roman"/>
          <w:sz w:val="20"/>
          <w:szCs w:val="20"/>
        </w:rPr>
        <w:t xml:space="preserve"> In axial </w:t>
      </w: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w:t>
      </w:r>
      <w:proofErr w:type="spellStart"/>
      <w:r w:rsidRPr="00804A2D">
        <w:rPr>
          <w:rFonts w:ascii="Times New Roman" w:hAnsi="Times New Roman"/>
          <w:sz w:val="20"/>
          <w:szCs w:val="20"/>
        </w:rPr>
        <w:t>AxSpA</w:t>
      </w:r>
      <w:proofErr w:type="spellEnd"/>
      <w:r w:rsidRPr="00804A2D">
        <w:rPr>
          <w:rFonts w:ascii="Times New Roman" w:hAnsi="Times New Roman"/>
          <w:sz w:val="20"/>
          <w:szCs w:val="20"/>
        </w:rPr>
        <w:t>), investigations about obesity, lipid profiles, and atherogenic indicators have been relatively limited.</w:t>
      </w:r>
      <w:r w:rsidRPr="00804A2D">
        <w:rPr>
          <w:rFonts w:ascii="Times New Roman" w:hAnsi="Times New Roman"/>
          <w:sz w:val="20"/>
          <w:szCs w:val="20"/>
          <w:vertAlign w:val="superscript"/>
        </w:rPr>
        <w:t>7</w:t>
      </w:r>
      <w:r w:rsidRPr="00804A2D">
        <w:rPr>
          <w:rFonts w:ascii="Times New Roman" w:hAnsi="Times New Roman"/>
          <w:sz w:val="20"/>
          <w:szCs w:val="20"/>
        </w:rPr>
        <w:t xml:space="preserve">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xml:space="preserve"> denotes seronegative inflammatory </w:t>
      </w:r>
      <w:proofErr w:type="spellStart"/>
      <w:r w:rsidRPr="00804A2D">
        <w:rPr>
          <w:rFonts w:ascii="Times New Roman" w:hAnsi="Times New Roman"/>
          <w:sz w:val="20"/>
          <w:szCs w:val="20"/>
        </w:rPr>
        <w:t>arthritides</w:t>
      </w:r>
      <w:proofErr w:type="spellEnd"/>
      <w:r w:rsidRPr="00804A2D">
        <w:rPr>
          <w:rFonts w:ascii="Times New Roman" w:hAnsi="Times New Roman"/>
          <w:sz w:val="20"/>
          <w:szCs w:val="20"/>
        </w:rPr>
        <w:t xml:space="preserve"> primarily impacting the spine sacroiliac and peripheral joints.</w:t>
      </w:r>
      <w:r w:rsidRPr="00804A2D">
        <w:rPr>
          <w:rFonts w:ascii="Times New Roman" w:hAnsi="Times New Roman"/>
          <w:sz w:val="20"/>
          <w:szCs w:val="20"/>
          <w:vertAlign w:val="superscript"/>
        </w:rPr>
        <w:t>8</w:t>
      </w:r>
      <w:r w:rsidRPr="00804A2D">
        <w:rPr>
          <w:rFonts w:ascii="Times New Roman" w:hAnsi="Times New Roman"/>
          <w:sz w:val="20"/>
          <w:szCs w:val="20"/>
        </w:rPr>
        <w:t xml:space="preserve"> In addition to genetic predispositions, pro-inflammatory cytokines are implicated in the pathophysiology of SpA.</w:t>
      </w:r>
      <w:r w:rsidRPr="00804A2D">
        <w:rPr>
          <w:rFonts w:ascii="Times New Roman" w:hAnsi="Times New Roman"/>
          <w:sz w:val="20"/>
          <w:szCs w:val="20"/>
          <w:vertAlign w:val="superscript"/>
        </w:rPr>
        <w:t>9-11</w:t>
      </w:r>
    </w:p>
    <w:p w14:paraId="004907DB"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In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xml:space="preserve"> patients, overweight and obesity are frequently observed and appear correlated with heightened disease activity.</w:t>
      </w:r>
      <w:r w:rsidRPr="00804A2D">
        <w:rPr>
          <w:rFonts w:ascii="Times New Roman" w:hAnsi="Times New Roman"/>
          <w:sz w:val="20"/>
          <w:szCs w:val="20"/>
          <w:vertAlign w:val="superscript"/>
        </w:rPr>
        <w:t>12</w:t>
      </w:r>
      <w:r w:rsidRPr="00804A2D">
        <w:rPr>
          <w:rFonts w:ascii="Times New Roman" w:hAnsi="Times New Roman"/>
          <w:sz w:val="20"/>
          <w:szCs w:val="20"/>
        </w:rPr>
        <w:t xml:space="preserve"> Furthermore, atherogenic indicators are elevated in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xml:space="preserve"> patients.</w:t>
      </w:r>
      <w:r w:rsidRPr="00804A2D">
        <w:rPr>
          <w:rFonts w:ascii="Times New Roman" w:hAnsi="Times New Roman"/>
          <w:sz w:val="20"/>
          <w:szCs w:val="20"/>
          <w:vertAlign w:val="superscript"/>
        </w:rPr>
        <w:t>7</w:t>
      </w:r>
      <w:r w:rsidRPr="00804A2D">
        <w:rPr>
          <w:rFonts w:ascii="Times New Roman" w:hAnsi="Times New Roman"/>
          <w:sz w:val="20"/>
          <w:szCs w:val="20"/>
        </w:rPr>
        <w:t xml:space="preserve"> Various studies have demonstrated that the atherogenic index of plasma (AIP) is a more dependable measure for assessing lipid profiles in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particularly when other atherogenic risk parameters present as normal.</w:t>
      </w:r>
      <w:r w:rsidRPr="00804A2D">
        <w:rPr>
          <w:rFonts w:ascii="Times New Roman" w:hAnsi="Times New Roman"/>
          <w:sz w:val="20"/>
          <w:szCs w:val="20"/>
          <w:vertAlign w:val="superscript"/>
        </w:rPr>
        <w:t>13,14</w:t>
      </w:r>
      <w:r w:rsidRPr="00804A2D">
        <w:rPr>
          <w:rFonts w:ascii="Times New Roman" w:hAnsi="Times New Roman"/>
          <w:sz w:val="20"/>
          <w:szCs w:val="20"/>
        </w:rPr>
        <w:t xml:space="preserve"> This index exhibits predictive capabilities for cardiovascular events.</w:t>
      </w:r>
    </w:p>
    <w:p w14:paraId="0CBF1223"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A mounting body of evidence underscores the role of inflammation in augmenting cardiovascular risk. Nonetheless, data concerning the interplay between pro-inflammatory cytokines, obesity, and lipid profiles in </w:t>
      </w:r>
      <w:proofErr w:type="spellStart"/>
      <w:r w:rsidRPr="00804A2D">
        <w:rPr>
          <w:rFonts w:ascii="Times New Roman" w:hAnsi="Times New Roman"/>
          <w:sz w:val="20"/>
          <w:szCs w:val="20"/>
        </w:rPr>
        <w:t>SpA</w:t>
      </w:r>
      <w:proofErr w:type="spellEnd"/>
      <w:r w:rsidRPr="00804A2D">
        <w:rPr>
          <w:rFonts w:ascii="Times New Roman" w:hAnsi="Times New Roman"/>
          <w:sz w:val="20"/>
          <w:szCs w:val="20"/>
        </w:rPr>
        <w:t xml:space="preserve"> remain scant.</w:t>
      </w:r>
    </w:p>
    <w:p w14:paraId="253A9F88" w14:textId="19277753" w:rsidR="00335FA7" w:rsidRPr="00804A2D" w:rsidRDefault="00804A2D" w:rsidP="00804A2D">
      <w:pPr>
        <w:pStyle w:val="Noindentpara"/>
        <w:rPr>
          <w:lang w:val="en-US"/>
        </w:rPr>
      </w:pPr>
      <w:r w:rsidRPr="00804A2D">
        <w:t xml:space="preserve">The research aims to investigate the prevalence of atherogenic lipid profiles in individuals with </w:t>
      </w:r>
      <w:proofErr w:type="spellStart"/>
      <w:r w:rsidRPr="00804A2D">
        <w:t>spondyloarthritis</w:t>
      </w:r>
      <w:proofErr w:type="spellEnd"/>
      <w:r w:rsidRPr="00804A2D">
        <w:t xml:space="preserve"> by utilising various indices, including the atherogenic index of plasma, Castelli's risk index I, Castelli's risk index II, and the atherogenic coefficient. Additionally, the study seeks to examine the relationships between these </w:t>
      </w:r>
      <w:proofErr w:type="spellStart"/>
      <w:r w:rsidRPr="00804A2D">
        <w:t>atherogenic</w:t>
      </w:r>
      <w:proofErr w:type="spellEnd"/>
      <w:r w:rsidRPr="00804A2D">
        <w:t xml:space="preserve"> indices in </w:t>
      </w:r>
      <w:proofErr w:type="spellStart"/>
      <w:r w:rsidRPr="00804A2D">
        <w:t>spondyloarthritis</w:t>
      </w:r>
      <w:proofErr w:type="spellEnd"/>
      <w:r w:rsidRPr="00804A2D">
        <w:t xml:space="preserve"> patients</w:t>
      </w:r>
      <w:r w:rsidR="00E95E02" w:rsidRPr="00804A2D">
        <w:rPr>
          <w:lang w:val="en-US"/>
        </w:rPr>
        <w:t>.</w:t>
      </w:r>
    </w:p>
    <w:p w14:paraId="5506EF2F" w14:textId="7CE7B06A" w:rsidR="00B57A4C" w:rsidRDefault="001F20DB" w:rsidP="00B57A4C">
      <w:pPr>
        <w:pStyle w:val="H1"/>
      </w:pPr>
      <w:r w:rsidRPr="005F6283">
        <w:rPr>
          <w:caps w:val="0"/>
        </w:rPr>
        <w:t>METHODS</w:t>
      </w:r>
    </w:p>
    <w:p w14:paraId="5B8BC7DD"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This cross-sectional study was conducted in </w:t>
      </w: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(primary or secondary) at the Institute of Rheumatology, RGGGH, and MMC from April 2023 to June 2023.</w:t>
      </w:r>
    </w:p>
    <w:p w14:paraId="1C7F5E7A"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Forty-five consecutive </w:t>
      </w: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patients were included in the study. All patients underwent a screening process based on the study inclusion criteria. Approval of the ethics committee was taken before initiating the study, and informed consent was taken from the patients. </w:t>
      </w:r>
    </w:p>
    <w:p w14:paraId="5D582517"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Participants above 18 years of age were eligible for inclusion, while individuals with diabetes mellitus, </w:t>
      </w:r>
      <w:r w:rsidRPr="00804A2D">
        <w:rPr>
          <w:rFonts w:ascii="Times New Roman" w:hAnsi="Times New Roman"/>
          <w:sz w:val="20"/>
          <w:szCs w:val="20"/>
        </w:rPr>
        <w:lastRenderedPageBreak/>
        <w:t xml:space="preserve">diagnosed </w:t>
      </w:r>
      <w:proofErr w:type="spellStart"/>
      <w:r w:rsidRPr="00804A2D">
        <w:rPr>
          <w:rFonts w:ascii="Times New Roman" w:hAnsi="Times New Roman"/>
          <w:sz w:val="20"/>
          <w:szCs w:val="20"/>
        </w:rPr>
        <w:t>dyslipidemia</w:t>
      </w:r>
      <w:proofErr w:type="spellEnd"/>
      <w:r w:rsidRPr="00804A2D">
        <w:rPr>
          <w:rFonts w:ascii="Times New Roman" w:hAnsi="Times New Roman"/>
          <w:sz w:val="20"/>
          <w:szCs w:val="20"/>
        </w:rPr>
        <w:t xml:space="preserve"> under treatment, and current smokers were excluded.</w:t>
      </w:r>
    </w:p>
    <w:p w14:paraId="1993DB18" w14:textId="77777777" w:rsidR="00804A2D" w:rsidRPr="00804A2D" w:rsidRDefault="00804A2D" w:rsidP="00804A2D">
      <w:pPr>
        <w:spacing w:before="240" w:line="240" w:lineRule="auto"/>
        <w:jc w:val="both"/>
        <w:rPr>
          <w:rFonts w:ascii="Times New Roman" w:hAnsi="Times New Roman"/>
          <w:i/>
          <w:sz w:val="20"/>
          <w:szCs w:val="20"/>
        </w:rPr>
      </w:pPr>
      <w:r w:rsidRPr="00804A2D">
        <w:rPr>
          <w:rFonts w:ascii="Times New Roman" w:hAnsi="Times New Roman"/>
          <w:b/>
          <w:bCs/>
          <w:i/>
          <w:sz w:val="20"/>
          <w:szCs w:val="20"/>
        </w:rPr>
        <w:t>Data collection</w:t>
      </w:r>
    </w:p>
    <w:p w14:paraId="5848E53C"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Information collected included whether the </w:t>
      </w: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was primary or secondary, HLA B27 status, disease duration, and current and past medication. Fasting lipid profiles and fasting blood sugar levels were obtained after a 12-hour overnight fast from the selected participants. Anthropometric measurements were also recorded, including height, weight, waist circumference, and hip circumference. Routine blood investigations such as complete blood count (CBC) with erythrocyte sedimentation rate (ESR), renal function test (RFT), liver function test (LFT), uric acid, and C-reactive protein (CRP) were conducted. Disease activity and damage scores were calculated for all patients.</w:t>
      </w:r>
    </w:p>
    <w:p w14:paraId="7F8F0D81" w14:textId="77777777" w:rsidR="00804A2D" w:rsidRPr="00804A2D" w:rsidRDefault="00804A2D" w:rsidP="00804A2D">
      <w:pPr>
        <w:spacing w:before="240" w:line="240" w:lineRule="auto"/>
        <w:jc w:val="both"/>
        <w:rPr>
          <w:rFonts w:ascii="Times New Roman" w:hAnsi="Times New Roman"/>
          <w:b/>
          <w:i/>
          <w:sz w:val="20"/>
          <w:szCs w:val="20"/>
        </w:rPr>
      </w:pPr>
      <w:r w:rsidRPr="00804A2D">
        <w:rPr>
          <w:rFonts w:ascii="Times New Roman" w:hAnsi="Times New Roman"/>
          <w:b/>
          <w:i/>
          <w:sz w:val="20"/>
          <w:szCs w:val="20"/>
        </w:rPr>
        <w:t>Atherogenic lipid index calculation</w:t>
      </w:r>
    </w:p>
    <w:p w14:paraId="2E05FE7B"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Various atherogenic lipid indices were determined using specific formulas.</w:t>
      </w:r>
    </w:p>
    <w:p w14:paraId="37008ED3" w14:textId="77777777" w:rsidR="00804A2D" w:rsidRPr="00804A2D" w:rsidRDefault="00804A2D" w:rsidP="00804A2D">
      <w:pPr>
        <w:spacing w:before="240" w:line="240" w:lineRule="auto"/>
        <w:jc w:val="both"/>
        <w:rPr>
          <w:rFonts w:ascii="Times New Roman" w:hAnsi="Times New Roman"/>
          <w:b/>
          <w:i/>
          <w:sz w:val="20"/>
          <w:szCs w:val="20"/>
        </w:rPr>
      </w:pPr>
      <w:r w:rsidRPr="00804A2D">
        <w:rPr>
          <w:rFonts w:ascii="Times New Roman" w:hAnsi="Times New Roman"/>
          <w:b/>
          <w:i/>
          <w:sz w:val="20"/>
          <w:szCs w:val="20"/>
        </w:rPr>
        <w:t>Data analysis</w:t>
      </w:r>
    </w:p>
    <w:p w14:paraId="2032CE93" w14:textId="2B73FBD6" w:rsidR="003540DB" w:rsidRPr="00804A2D" w:rsidRDefault="00804A2D" w:rsidP="00804A2D">
      <w:pPr>
        <w:pStyle w:val="Noindentpara"/>
        <w:rPr>
          <w:lang w:val="en-US"/>
        </w:rPr>
      </w:pPr>
      <w:r w:rsidRPr="00804A2D">
        <w:t>Univariate and multivariate analyses were performed using statistical package for the social sciences (SPSS) version 23. Both parametric and non-parametric tests were employed based on the distribution of the variables</w:t>
      </w:r>
      <w:r w:rsidR="001359C3" w:rsidRPr="00804A2D">
        <w:t>.</w:t>
      </w:r>
    </w:p>
    <w:p w14:paraId="582BA615" w14:textId="564407F7" w:rsidR="00B57A4C" w:rsidRDefault="006C391E" w:rsidP="00B57A4C">
      <w:pPr>
        <w:pStyle w:val="H1"/>
      </w:pPr>
      <w:r w:rsidRPr="005F6283">
        <w:t>R</w:t>
      </w:r>
      <w:r w:rsidR="00D25AA5" w:rsidRPr="005F6283">
        <w:rPr>
          <w:caps w:val="0"/>
        </w:rPr>
        <w:t>ES</w:t>
      </w:r>
      <w:r w:rsidR="00D25AA5" w:rsidRPr="00043F4E">
        <w:rPr>
          <w:caps w:val="0"/>
        </w:rPr>
        <w:t>ULT</w:t>
      </w:r>
      <w:r w:rsidR="00D25AA5" w:rsidRPr="005F6283">
        <w:rPr>
          <w:caps w:val="0"/>
        </w:rPr>
        <w:t>S</w:t>
      </w:r>
    </w:p>
    <w:p w14:paraId="52FF11B8" w14:textId="77777777" w:rsidR="00804A2D" w:rsidRPr="00804A2D"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In this study of </w:t>
      </w:r>
      <w:proofErr w:type="spellStart"/>
      <w:r w:rsidRPr="00804A2D">
        <w:rPr>
          <w:rFonts w:ascii="Times New Roman" w:hAnsi="Times New Roman"/>
          <w:sz w:val="20"/>
          <w:szCs w:val="20"/>
        </w:rPr>
        <w:t>spondyloarthritis</w:t>
      </w:r>
      <w:proofErr w:type="spellEnd"/>
      <w:r w:rsidRPr="00804A2D">
        <w:rPr>
          <w:rFonts w:ascii="Times New Roman" w:hAnsi="Times New Roman"/>
          <w:sz w:val="20"/>
          <w:szCs w:val="20"/>
        </w:rPr>
        <w:t xml:space="preserve"> patients (N=45), the majority were male (68.9%), with a mean age of 37.73 years. Primary ankylosing spondylitis (AS) in 62.2% of cases, and most patients had axial and peripheral involvement (75.6%). About one-third (33.3%) of the patients tested positive for HLA B27. The average disease duration was 6.7 years, and the mean weight, height, waist circumference, and hip circumference were 65.08 kg, 158.76 cm, 88.82 cm, and 100.68 cm, respectively. The average body mass index (BMI) was 25.16 kg/m</w:t>
      </w:r>
      <w:r w:rsidRPr="00804A2D">
        <w:rPr>
          <w:rFonts w:ascii="Times New Roman" w:hAnsi="Times New Roman"/>
          <w:sz w:val="20"/>
          <w:szCs w:val="20"/>
          <w:vertAlign w:val="superscript"/>
        </w:rPr>
        <w:t>2</w:t>
      </w:r>
      <w:r w:rsidRPr="00804A2D">
        <w:rPr>
          <w:rFonts w:ascii="Times New Roman" w:hAnsi="Times New Roman"/>
          <w:sz w:val="20"/>
          <w:szCs w:val="20"/>
        </w:rPr>
        <w:t>, and the waist-hip ratio was 0.88.</w:t>
      </w:r>
    </w:p>
    <w:p w14:paraId="1D8F54D0" w14:textId="279695A4" w:rsidR="00903999" w:rsidRDefault="00804A2D" w:rsidP="00804A2D">
      <w:pPr>
        <w:spacing w:before="240" w:line="240" w:lineRule="auto"/>
        <w:jc w:val="both"/>
        <w:rPr>
          <w:rFonts w:ascii="Times New Roman" w:hAnsi="Times New Roman"/>
          <w:sz w:val="20"/>
          <w:szCs w:val="20"/>
        </w:rPr>
      </w:pPr>
      <w:r w:rsidRPr="00804A2D">
        <w:rPr>
          <w:rFonts w:ascii="Times New Roman" w:hAnsi="Times New Roman"/>
          <w:sz w:val="20"/>
          <w:szCs w:val="20"/>
        </w:rPr>
        <w:t xml:space="preserve">The baseline laboratory values were: the fasting blood glucose level averaged 84.52 mg/dl, total cholesterol was 170.86 mg/dl, triglycerides were 109.76 mg/dl, high-density cholesterol was 42.10 mg/dl, low-density cholesterol was 106.41 mg/dl, CRP was 14.24 mg/dl, ESR was 26.67 mm/hr, and uric acid levels averaged 5.08 mg/dl. Metabolic syndrome was present in 11.1% of patients, while </w:t>
      </w:r>
      <w:proofErr w:type="spellStart"/>
      <w:r w:rsidRPr="00804A2D">
        <w:rPr>
          <w:rFonts w:ascii="Times New Roman" w:hAnsi="Times New Roman"/>
          <w:sz w:val="20"/>
          <w:szCs w:val="20"/>
        </w:rPr>
        <w:t>anemia</w:t>
      </w:r>
      <w:proofErr w:type="spellEnd"/>
      <w:r w:rsidRPr="00804A2D">
        <w:rPr>
          <w:rFonts w:ascii="Times New Roman" w:hAnsi="Times New Roman"/>
          <w:sz w:val="20"/>
          <w:szCs w:val="20"/>
        </w:rPr>
        <w:t xml:space="preserve"> was 44.4%. Additionally, 40% of patients currently use TNF inhibitors as a treatment regimen (Table 1).</w:t>
      </w:r>
    </w:p>
    <w:p w14:paraId="56F782A7" w14:textId="31FB9C40" w:rsidR="008A32EF" w:rsidRPr="008A32EF" w:rsidRDefault="008A32EF" w:rsidP="008A32EF">
      <w:pPr>
        <w:pStyle w:val="Noindentpara"/>
        <w:rPr>
          <w:lang w:val="en-US"/>
        </w:rPr>
      </w:pPr>
      <w:r w:rsidRPr="008A32EF">
        <w:rPr>
          <w:lang w:val="en-US"/>
        </w:rPr>
        <w:t xml:space="preserve">In </w:t>
      </w:r>
      <w:proofErr w:type="spellStart"/>
      <w:r w:rsidRPr="008A32EF">
        <w:rPr>
          <w:lang w:val="en-US"/>
        </w:rPr>
        <w:t>spondyloarthritis</w:t>
      </w:r>
      <w:proofErr w:type="spellEnd"/>
      <w:r w:rsidRPr="008A32EF">
        <w:rPr>
          <w:lang w:val="en-US"/>
        </w:rPr>
        <w:t xml:space="preserve"> patients, lipid ratios indicative of cardiovascular risk, including the atherogenic index of plasma (0.068±0.32), Castelli's risk index-I (4.376±1.978), Castelli's risk index-II (2.916±1.695), and atherogenic </w:t>
      </w:r>
      <w:r w:rsidRPr="008A32EF">
        <w:rPr>
          <w:lang w:val="en-US"/>
        </w:rPr>
        <w:lastRenderedPageBreak/>
        <w:t>coefficient (3.404±1.973), exhibited values that provide important information about their potential cardiovascula</w:t>
      </w:r>
      <w:r>
        <w:rPr>
          <w:lang w:val="en-US"/>
        </w:rPr>
        <w:t>r health implications (Table 2)</w:t>
      </w:r>
      <w:r w:rsidRPr="00537CF5">
        <w:rPr>
          <w:lang w:val="en-US"/>
        </w:rPr>
        <w:t>.</w:t>
      </w:r>
    </w:p>
    <w:p w14:paraId="1EB57998" w14:textId="3E07D020" w:rsidR="00D3310E" w:rsidRDefault="00804A2D" w:rsidP="00D3310E">
      <w:pPr>
        <w:pStyle w:val="Noindentpara"/>
        <w:jc w:val="center"/>
        <w:rPr>
          <w:rFonts w:eastAsia="Times New Roman"/>
          <w:b/>
          <w:bCs/>
          <w:kern w:val="28"/>
          <w:sz w:val="24"/>
          <w:szCs w:val="24"/>
          <w:lang w:val="en-US" w:eastAsia="en-IN"/>
        </w:rPr>
      </w:pPr>
      <w:r w:rsidRPr="00804A2D">
        <w:rPr>
          <w:b/>
          <w:color w:val="003296"/>
          <w:lang w:val="en-US"/>
        </w:rPr>
        <w:t>Ta</w:t>
      </w:r>
      <w:r>
        <w:rPr>
          <w:b/>
          <w:color w:val="003296"/>
          <w:lang w:val="en-US"/>
        </w:rPr>
        <w:t>ble 1: Baseline characteristics.</w:t>
      </w:r>
      <w:r w:rsidR="00D3310E" w:rsidRPr="00E302A9">
        <w:rPr>
          <w:rFonts w:eastAsia="MinionPro-Regular"/>
          <w:sz w:val="24"/>
          <w:szCs w:val="24"/>
        </w:rPr>
        <w:t xml:space="preserve"> </w:t>
      </w:r>
    </w:p>
    <w:tbl>
      <w:tblPr>
        <w:tblStyle w:val="MediumShading1-Accent11"/>
        <w:tblW w:w="0" w:type="auto"/>
        <w:jc w:val="center"/>
        <w:tblLook w:val="0420" w:firstRow="1" w:lastRow="0" w:firstColumn="0" w:lastColumn="0" w:noHBand="0" w:noVBand="1"/>
      </w:tblPr>
      <w:tblGrid>
        <w:gridCol w:w="2967"/>
        <w:gridCol w:w="1659"/>
      </w:tblGrid>
      <w:tr w:rsidR="008A32EF" w:rsidRPr="008A32EF" w14:paraId="1F1047D5" w14:textId="77777777" w:rsidTr="008A32EF">
        <w:trPr>
          <w:cnfStyle w:val="100000000000" w:firstRow="1" w:lastRow="0" w:firstColumn="0" w:lastColumn="0" w:oddVBand="0" w:evenVBand="0" w:oddHBand="0" w:evenHBand="0" w:firstRowFirstColumn="0" w:firstRowLastColumn="0" w:lastRowFirstColumn="0" w:lastRowLastColumn="0"/>
          <w:trHeight w:val="20"/>
          <w:jc w:val="center"/>
        </w:trPr>
        <w:tc>
          <w:tcPr>
            <w:tcW w:w="2967" w:type="dxa"/>
            <w:vAlign w:val="center"/>
          </w:tcPr>
          <w:p w14:paraId="33068161" w14:textId="157592BA"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Baseline characteristics</w:t>
            </w:r>
          </w:p>
        </w:tc>
        <w:tc>
          <w:tcPr>
            <w:tcW w:w="1659" w:type="dxa"/>
            <w:vAlign w:val="center"/>
          </w:tcPr>
          <w:p w14:paraId="1B9E32D1" w14:textId="155E0883"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bCs w:val="0"/>
                <w:sz w:val="20"/>
                <w:szCs w:val="20"/>
              </w:rPr>
              <w:t xml:space="preserve">n </w:t>
            </w:r>
            <w:r w:rsidRPr="008A32EF">
              <w:rPr>
                <w:rFonts w:ascii="Times New Roman" w:hAnsi="Times New Roman" w:cs="Times New Roman"/>
                <w:sz w:val="20"/>
                <w:szCs w:val="20"/>
              </w:rPr>
              <w:t>(%)</w:t>
            </w:r>
            <w:r w:rsidRPr="008A32EF">
              <w:rPr>
                <w:rFonts w:ascii="Times New Roman" w:hAnsi="Times New Roman" w:cs="Times New Roman"/>
                <w:bCs w:val="0"/>
                <w:sz w:val="20"/>
                <w:szCs w:val="20"/>
              </w:rPr>
              <w:t xml:space="preserve"> </w:t>
            </w:r>
            <w:r w:rsidRPr="008A32EF">
              <w:rPr>
                <w:rFonts w:ascii="Times New Roman" w:hAnsi="Times New Roman" w:cs="Times New Roman"/>
                <w:sz w:val="20"/>
                <w:szCs w:val="20"/>
              </w:rPr>
              <w:t>(N=45)</w:t>
            </w:r>
          </w:p>
        </w:tc>
      </w:tr>
      <w:tr w:rsidR="008A32EF" w:rsidRPr="008A32EF" w14:paraId="2F99C2B7"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4EA069EE" w14:textId="70D19CAF"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 xml:space="preserve">Male/female </w:t>
            </w:r>
          </w:p>
        </w:tc>
        <w:tc>
          <w:tcPr>
            <w:tcW w:w="1659" w:type="dxa"/>
            <w:vAlign w:val="center"/>
          </w:tcPr>
          <w:p w14:paraId="7B0CA819" w14:textId="0371D71D"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31 (68.9) /14 (31.1)</w:t>
            </w:r>
          </w:p>
        </w:tc>
      </w:tr>
      <w:tr w:rsidR="008A32EF" w:rsidRPr="008A32EF" w14:paraId="2867DF71"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38CFB53B" w14:textId="207F9723"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Age (</w:t>
            </w:r>
            <w:proofErr w:type="spellStart"/>
            <w:r w:rsidRPr="008A32EF">
              <w:rPr>
                <w:rFonts w:ascii="Times New Roman" w:hAnsi="Times New Roman" w:cs="Times New Roman"/>
                <w:b/>
                <w:sz w:val="20"/>
                <w:szCs w:val="20"/>
              </w:rPr>
              <w:t>mean±SD</w:t>
            </w:r>
            <w:proofErr w:type="spellEnd"/>
            <w:r w:rsidRPr="008A32EF">
              <w:rPr>
                <w:rFonts w:ascii="Times New Roman" w:hAnsi="Times New Roman" w:cs="Times New Roman"/>
                <w:b/>
                <w:sz w:val="20"/>
                <w:szCs w:val="20"/>
              </w:rPr>
              <w:t>)</w:t>
            </w:r>
          </w:p>
        </w:tc>
        <w:tc>
          <w:tcPr>
            <w:tcW w:w="1659" w:type="dxa"/>
            <w:vAlign w:val="center"/>
          </w:tcPr>
          <w:p w14:paraId="13686E9B" w14:textId="7AD17B19"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37.73 (±10.6)</w:t>
            </w:r>
          </w:p>
        </w:tc>
      </w:tr>
      <w:tr w:rsidR="008A32EF" w:rsidRPr="008A32EF" w14:paraId="358A8AC4"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33F3AF31" w14:textId="47096144"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Primary diagnosis</w:t>
            </w:r>
          </w:p>
        </w:tc>
        <w:tc>
          <w:tcPr>
            <w:tcW w:w="1659" w:type="dxa"/>
            <w:vAlign w:val="center"/>
          </w:tcPr>
          <w:p w14:paraId="2694CD09" w14:textId="6E9AA0D0"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Primary AS, 28 (62.2%)</w:t>
            </w:r>
          </w:p>
        </w:tc>
      </w:tr>
      <w:tr w:rsidR="008A32EF" w:rsidRPr="008A32EF" w14:paraId="1BC842E7"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038B6B7A" w14:textId="3D184B3E"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Axial/peripheral/both involvement</w:t>
            </w:r>
          </w:p>
        </w:tc>
        <w:tc>
          <w:tcPr>
            <w:tcW w:w="1659" w:type="dxa"/>
            <w:vAlign w:val="center"/>
          </w:tcPr>
          <w:p w14:paraId="16A6E5BD" w14:textId="680B50C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Both axial and peripheral, 34 (75.6)</w:t>
            </w:r>
          </w:p>
        </w:tc>
      </w:tr>
      <w:tr w:rsidR="008A32EF" w:rsidRPr="008A32EF" w14:paraId="67CFD744"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6CBB5715" w14:textId="1526D888"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HLA B27 status</w:t>
            </w:r>
          </w:p>
        </w:tc>
        <w:tc>
          <w:tcPr>
            <w:tcW w:w="1659" w:type="dxa"/>
            <w:vAlign w:val="center"/>
          </w:tcPr>
          <w:p w14:paraId="6A089F30" w14:textId="0E4DA503"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Positive, 15 (33.3)</w:t>
            </w:r>
          </w:p>
        </w:tc>
      </w:tr>
      <w:tr w:rsidR="008A32EF" w:rsidRPr="008A32EF" w14:paraId="1AAE5352"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2B823BF3" w14:textId="53C02221"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Disease duration (in years) (</w:t>
            </w:r>
            <w:proofErr w:type="spellStart"/>
            <w:r w:rsidRPr="008A32EF">
              <w:rPr>
                <w:rFonts w:ascii="Times New Roman" w:hAnsi="Times New Roman" w:cs="Times New Roman"/>
                <w:b/>
                <w:sz w:val="20"/>
                <w:szCs w:val="20"/>
              </w:rPr>
              <w:t>mean±SD</w:t>
            </w:r>
            <w:proofErr w:type="spellEnd"/>
            <w:r w:rsidRPr="008A32EF">
              <w:rPr>
                <w:rFonts w:ascii="Times New Roman" w:hAnsi="Times New Roman" w:cs="Times New Roman"/>
                <w:b/>
                <w:sz w:val="20"/>
                <w:szCs w:val="20"/>
              </w:rPr>
              <w:t>)</w:t>
            </w:r>
          </w:p>
        </w:tc>
        <w:tc>
          <w:tcPr>
            <w:tcW w:w="1659" w:type="dxa"/>
            <w:vAlign w:val="center"/>
          </w:tcPr>
          <w:p w14:paraId="3E429080" w14:textId="0CEA351E"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6.7 (±5.76)</w:t>
            </w:r>
          </w:p>
        </w:tc>
      </w:tr>
      <w:tr w:rsidR="008A32EF" w:rsidRPr="008A32EF" w14:paraId="1754EFB8"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2CBF3BF2" w14:textId="10046D4F"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Weight (kg)</w:t>
            </w:r>
          </w:p>
        </w:tc>
        <w:tc>
          <w:tcPr>
            <w:tcW w:w="1659" w:type="dxa"/>
            <w:vAlign w:val="center"/>
          </w:tcPr>
          <w:p w14:paraId="3F6B6D82" w14:textId="14E22606"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65.08 (±13.43)</w:t>
            </w:r>
          </w:p>
        </w:tc>
      </w:tr>
      <w:tr w:rsidR="008A32EF" w:rsidRPr="008A32EF" w14:paraId="56F36EE6"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44295E51" w14:textId="42D9821B"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Height (in cm)</w:t>
            </w:r>
          </w:p>
        </w:tc>
        <w:tc>
          <w:tcPr>
            <w:tcW w:w="1659" w:type="dxa"/>
            <w:vAlign w:val="center"/>
          </w:tcPr>
          <w:p w14:paraId="02141197" w14:textId="2D611C0D"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158.76 (±14.93)</w:t>
            </w:r>
          </w:p>
        </w:tc>
      </w:tr>
      <w:tr w:rsidR="008A32EF" w:rsidRPr="008A32EF" w14:paraId="332590AE"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53F24B5E" w14:textId="017DFB30"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Waist circumference (in cm)</w:t>
            </w:r>
          </w:p>
        </w:tc>
        <w:tc>
          <w:tcPr>
            <w:tcW w:w="1659" w:type="dxa"/>
            <w:vAlign w:val="center"/>
          </w:tcPr>
          <w:p w14:paraId="11422F84" w14:textId="591A1975"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88.82 (±11.55)</w:t>
            </w:r>
          </w:p>
        </w:tc>
      </w:tr>
      <w:tr w:rsidR="008A32EF" w:rsidRPr="008A32EF" w14:paraId="1CCA59D6"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432C1FC1" w14:textId="594F801C"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Hip circumference (in cm)</w:t>
            </w:r>
          </w:p>
        </w:tc>
        <w:tc>
          <w:tcPr>
            <w:tcW w:w="1659" w:type="dxa"/>
            <w:vAlign w:val="center"/>
          </w:tcPr>
          <w:p w14:paraId="0ECAFFF7" w14:textId="59F298F9"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100.68 (±10.22)</w:t>
            </w:r>
          </w:p>
        </w:tc>
      </w:tr>
      <w:tr w:rsidR="008A32EF" w:rsidRPr="008A32EF" w14:paraId="41CBD59F"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19E51593" w14:textId="4AE36A63"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BMI (kg/m</w:t>
            </w:r>
            <w:r w:rsidRPr="008A32EF">
              <w:rPr>
                <w:rFonts w:ascii="Times New Roman" w:hAnsi="Times New Roman" w:cs="Times New Roman"/>
                <w:b/>
                <w:sz w:val="20"/>
                <w:szCs w:val="20"/>
                <w:vertAlign w:val="superscript"/>
              </w:rPr>
              <w:t>2</w:t>
            </w:r>
            <w:r w:rsidRPr="008A32EF">
              <w:rPr>
                <w:rFonts w:ascii="Times New Roman" w:hAnsi="Times New Roman" w:cs="Times New Roman"/>
                <w:b/>
                <w:sz w:val="20"/>
                <w:szCs w:val="20"/>
              </w:rPr>
              <w:t>)</w:t>
            </w:r>
          </w:p>
        </w:tc>
        <w:tc>
          <w:tcPr>
            <w:tcW w:w="1659" w:type="dxa"/>
            <w:vAlign w:val="center"/>
          </w:tcPr>
          <w:p w14:paraId="0479700A" w14:textId="11754151"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25.16 (±4.8.1)</w:t>
            </w:r>
          </w:p>
        </w:tc>
      </w:tr>
      <w:tr w:rsidR="008A32EF" w:rsidRPr="008A32EF" w14:paraId="3A9700E3"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3D0D2DB9" w14:textId="5A5782BC"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Waist hip ratio</w:t>
            </w:r>
          </w:p>
        </w:tc>
        <w:tc>
          <w:tcPr>
            <w:tcW w:w="1659" w:type="dxa"/>
            <w:vAlign w:val="center"/>
          </w:tcPr>
          <w:p w14:paraId="3D9FE813" w14:textId="6A3F5CFB"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0.88 (±0.07)</w:t>
            </w:r>
          </w:p>
        </w:tc>
      </w:tr>
      <w:tr w:rsidR="008A32EF" w:rsidRPr="008A32EF" w14:paraId="101041F1"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4E09D217" w14:textId="1BDEFE99"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Fasting blood glucose (mg/dl)</w:t>
            </w:r>
          </w:p>
        </w:tc>
        <w:tc>
          <w:tcPr>
            <w:tcW w:w="1659" w:type="dxa"/>
            <w:vAlign w:val="center"/>
          </w:tcPr>
          <w:p w14:paraId="69CD9D16" w14:textId="54D9FF42"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84.52 (±14.25)</w:t>
            </w:r>
          </w:p>
        </w:tc>
      </w:tr>
      <w:tr w:rsidR="008A32EF" w:rsidRPr="008A32EF" w14:paraId="29A77178"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5ABE7212" w14:textId="4A227259"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Total cholesterol (mg/dl)</w:t>
            </w:r>
          </w:p>
        </w:tc>
        <w:tc>
          <w:tcPr>
            <w:tcW w:w="1659" w:type="dxa"/>
            <w:vAlign w:val="center"/>
          </w:tcPr>
          <w:p w14:paraId="572B0D3B" w14:textId="2689A556"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170.86 (±41.04)</w:t>
            </w:r>
          </w:p>
        </w:tc>
      </w:tr>
      <w:tr w:rsidR="008A32EF" w:rsidRPr="008A32EF" w14:paraId="0DC91270"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17B8C4B0" w14:textId="0998A864"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Triglycerides (mg/dl)</w:t>
            </w:r>
          </w:p>
        </w:tc>
        <w:tc>
          <w:tcPr>
            <w:tcW w:w="1659" w:type="dxa"/>
            <w:vAlign w:val="center"/>
          </w:tcPr>
          <w:p w14:paraId="265E6157" w14:textId="4080B721"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109.76 (±45.79)</w:t>
            </w:r>
          </w:p>
        </w:tc>
      </w:tr>
      <w:tr w:rsidR="008A32EF" w:rsidRPr="008A32EF" w14:paraId="62C203A0"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2BA77D69" w14:textId="3F48E044"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High-density cholesterol (mg/dl)</w:t>
            </w:r>
          </w:p>
        </w:tc>
        <w:tc>
          <w:tcPr>
            <w:tcW w:w="1659" w:type="dxa"/>
            <w:vAlign w:val="center"/>
          </w:tcPr>
          <w:p w14:paraId="5382FA1D" w14:textId="69D05406"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42.10 (±13)</w:t>
            </w:r>
          </w:p>
        </w:tc>
      </w:tr>
      <w:tr w:rsidR="008A32EF" w:rsidRPr="008A32EF" w14:paraId="51872F72"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4811E9D7" w14:textId="78345F11"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Low-density cholesterol (mg/dl)</w:t>
            </w:r>
          </w:p>
        </w:tc>
        <w:tc>
          <w:tcPr>
            <w:tcW w:w="1659" w:type="dxa"/>
            <w:vAlign w:val="center"/>
          </w:tcPr>
          <w:p w14:paraId="7244B957" w14:textId="0C2FF6CE"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106.41 (±38.98)</w:t>
            </w:r>
          </w:p>
        </w:tc>
      </w:tr>
      <w:tr w:rsidR="008A32EF" w:rsidRPr="008A32EF" w14:paraId="47F0C7DB"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4A341788" w14:textId="271BF868"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CRP (mg/dl)</w:t>
            </w:r>
          </w:p>
        </w:tc>
        <w:tc>
          <w:tcPr>
            <w:tcW w:w="1659" w:type="dxa"/>
            <w:vAlign w:val="center"/>
          </w:tcPr>
          <w:p w14:paraId="4B77A48E" w14:textId="771570C4"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14.24 (±12.64)</w:t>
            </w:r>
          </w:p>
        </w:tc>
      </w:tr>
      <w:tr w:rsidR="008A32EF" w:rsidRPr="008A32EF" w14:paraId="1BCA00B0"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7B300874" w14:textId="0C93F7E2"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ESR (mm/hr)</w:t>
            </w:r>
          </w:p>
        </w:tc>
        <w:tc>
          <w:tcPr>
            <w:tcW w:w="1659" w:type="dxa"/>
            <w:vAlign w:val="center"/>
          </w:tcPr>
          <w:p w14:paraId="7CC1398E" w14:textId="23994323"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26.67 (±22.09)</w:t>
            </w:r>
          </w:p>
        </w:tc>
      </w:tr>
      <w:tr w:rsidR="008A32EF" w:rsidRPr="008A32EF" w14:paraId="1AE1AFFC"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2F891C68" w14:textId="49B16BBB"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Uric acid (mg/dl)</w:t>
            </w:r>
          </w:p>
        </w:tc>
        <w:tc>
          <w:tcPr>
            <w:tcW w:w="1659" w:type="dxa"/>
            <w:vAlign w:val="center"/>
          </w:tcPr>
          <w:p w14:paraId="3A138BA9" w14:textId="367ED2DB"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5.08 (±1.57)</w:t>
            </w:r>
          </w:p>
        </w:tc>
      </w:tr>
      <w:tr w:rsidR="008A32EF" w:rsidRPr="008A32EF" w14:paraId="158022EA"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5F290500" w14:textId="3A6BE0F1"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Metabolic syndrome (present)</w:t>
            </w:r>
          </w:p>
        </w:tc>
        <w:tc>
          <w:tcPr>
            <w:tcW w:w="1659" w:type="dxa"/>
            <w:vAlign w:val="center"/>
          </w:tcPr>
          <w:p w14:paraId="43B1C284" w14:textId="57A15F08"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5 (11.1)</w:t>
            </w:r>
          </w:p>
        </w:tc>
      </w:tr>
      <w:tr w:rsidR="008A32EF" w:rsidRPr="008A32EF" w14:paraId="7D0721D3"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6FC82021" w14:textId="64C79BCF" w:rsidR="008A32EF" w:rsidRPr="008A32EF" w:rsidRDefault="008A32EF" w:rsidP="008A32EF">
            <w:pPr>
              <w:spacing w:after="0" w:line="240" w:lineRule="auto"/>
              <w:rPr>
                <w:rFonts w:ascii="Times New Roman" w:hAnsi="Times New Roman" w:cs="Times New Roman"/>
                <w:b/>
                <w:sz w:val="20"/>
                <w:szCs w:val="20"/>
              </w:rPr>
            </w:pPr>
            <w:proofErr w:type="spellStart"/>
            <w:r w:rsidRPr="008A32EF">
              <w:rPr>
                <w:rFonts w:ascii="Times New Roman" w:hAnsi="Times New Roman" w:cs="Times New Roman"/>
                <w:b/>
                <w:sz w:val="20"/>
                <w:szCs w:val="20"/>
              </w:rPr>
              <w:t>Anemia</w:t>
            </w:r>
            <w:proofErr w:type="spellEnd"/>
            <w:r w:rsidRPr="008A32EF">
              <w:rPr>
                <w:rFonts w:ascii="Times New Roman" w:hAnsi="Times New Roman" w:cs="Times New Roman"/>
                <w:b/>
                <w:sz w:val="20"/>
                <w:szCs w:val="20"/>
              </w:rPr>
              <w:t xml:space="preserve"> (present)</w:t>
            </w:r>
          </w:p>
        </w:tc>
        <w:tc>
          <w:tcPr>
            <w:tcW w:w="1659" w:type="dxa"/>
            <w:vAlign w:val="center"/>
          </w:tcPr>
          <w:p w14:paraId="6B8589DF" w14:textId="58B12F3C"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20 (44.4)</w:t>
            </w:r>
          </w:p>
        </w:tc>
      </w:tr>
      <w:tr w:rsidR="008A32EF" w:rsidRPr="008A32EF" w14:paraId="2B5E4782"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15A99890" w14:textId="206E053D"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Current TNF inhibitor use</w:t>
            </w:r>
          </w:p>
        </w:tc>
        <w:tc>
          <w:tcPr>
            <w:tcW w:w="1659" w:type="dxa"/>
            <w:vAlign w:val="center"/>
          </w:tcPr>
          <w:p w14:paraId="264E77FF" w14:textId="37CBB2FA"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18 (40)</w:t>
            </w:r>
          </w:p>
        </w:tc>
      </w:tr>
    </w:tbl>
    <w:p w14:paraId="05444984" w14:textId="4E8C9BE5" w:rsidR="00534E7E" w:rsidRDefault="008A32EF" w:rsidP="00534E7E">
      <w:pPr>
        <w:pStyle w:val="Noindentpara"/>
        <w:jc w:val="center"/>
        <w:rPr>
          <w:b/>
          <w:color w:val="003296"/>
          <w:lang w:val="en-US"/>
        </w:rPr>
      </w:pPr>
      <w:r w:rsidRPr="008A32EF">
        <w:rPr>
          <w:b/>
          <w:color w:val="003296"/>
          <w:lang w:val="en-US"/>
        </w:rPr>
        <w:t>Table 2: Lipid ratio.</w:t>
      </w:r>
    </w:p>
    <w:tbl>
      <w:tblPr>
        <w:tblStyle w:val="MediumShading1-Accent11"/>
        <w:tblW w:w="0" w:type="auto"/>
        <w:jc w:val="center"/>
        <w:tblLook w:val="04A0" w:firstRow="1" w:lastRow="0" w:firstColumn="1" w:lastColumn="0" w:noHBand="0" w:noVBand="1"/>
      </w:tblPr>
      <w:tblGrid>
        <w:gridCol w:w="3181"/>
        <w:gridCol w:w="1447"/>
      </w:tblGrid>
      <w:tr w:rsidR="008A32EF" w:rsidRPr="008A32EF" w14:paraId="14E8D20E" w14:textId="77777777" w:rsidTr="008A32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1" w:type="dxa"/>
            <w:vAlign w:val="center"/>
          </w:tcPr>
          <w:p w14:paraId="57B32022"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sz w:val="20"/>
                <w:szCs w:val="20"/>
              </w:rPr>
              <w:t>L</w:t>
            </w:r>
            <w:r w:rsidRPr="008A32EF">
              <w:rPr>
                <w:rFonts w:ascii="Times New Roman" w:hAnsi="Times New Roman" w:cs="Times New Roman"/>
                <w:bCs w:val="0"/>
                <w:sz w:val="20"/>
                <w:szCs w:val="20"/>
              </w:rPr>
              <w:t>ipid ratios</w:t>
            </w:r>
          </w:p>
        </w:tc>
        <w:tc>
          <w:tcPr>
            <w:tcW w:w="1447" w:type="dxa"/>
            <w:vAlign w:val="center"/>
          </w:tcPr>
          <w:p w14:paraId="0DE49305"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A32EF">
              <w:rPr>
                <w:rFonts w:ascii="Times New Roman" w:hAnsi="Times New Roman" w:cs="Times New Roman"/>
                <w:sz w:val="20"/>
                <w:szCs w:val="20"/>
              </w:rPr>
              <w:t>Mean (±</w:t>
            </w:r>
            <w:r w:rsidRPr="008A32EF">
              <w:rPr>
                <w:rFonts w:ascii="Times New Roman" w:hAnsi="Times New Roman" w:cs="Times New Roman"/>
                <w:bCs w:val="0"/>
                <w:sz w:val="20"/>
                <w:szCs w:val="20"/>
              </w:rPr>
              <w:t>SD</w:t>
            </w:r>
            <w:r w:rsidRPr="008A32EF">
              <w:rPr>
                <w:rFonts w:ascii="Times New Roman" w:hAnsi="Times New Roman" w:cs="Times New Roman"/>
                <w:sz w:val="20"/>
                <w:szCs w:val="20"/>
              </w:rPr>
              <w:t>)</w:t>
            </w:r>
          </w:p>
        </w:tc>
      </w:tr>
      <w:tr w:rsidR="008A32EF" w:rsidRPr="008A32EF" w14:paraId="2E4AA0C3" w14:textId="77777777" w:rsidTr="008A3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1" w:type="dxa"/>
            <w:vAlign w:val="center"/>
          </w:tcPr>
          <w:p w14:paraId="42CF0F25"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Atherogenic index of plasma (log</w:t>
            </w:r>
            <w:r w:rsidRPr="008A32EF">
              <w:rPr>
                <w:rFonts w:ascii="Times New Roman" w:hAnsi="Times New Roman" w:cs="Times New Roman"/>
                <w:sz w:val="20"/>
                <w:szCs w:val="20"/>
                <w:vertAlign w:val="subscript"/>
              </w:rPr>
              <w:t xml:space="preserve">10 </w:t>
            </w:r>
            <w:r w:rsidRPr="008A32EF">
              <w:rPr>
                <w:rFonts w:ascii="Times New Roman" w:hAnsi="Times New Roman" w:cs="Times New Roman"/>
                <w:sz w:val="20"/>
                <w:szCs w:val="20"/>
              </w:rPr>
              <w:t>(TG/HDL))</w:t>
            </w:r>
          </w:p>
        </w:tc>
        <w:tc>
          <w:tcPr>
            <w:tcW w:w="1447" w:type="dxa"/>
            <w:vAlign w:val="center"/>
          </w:tcPr>
          <w:p w14:paraId="1C84D0CA"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0.068 (±0.32)</w:t>
            </w:r>
          </w:p>
        </w:tc>
      </w:tr>
      <w:tr w:rsidR="008A32EF" w:rsidRPr="008A32EF" w14:paraId="31F9B895" w14:textId="77777777" w:rsidTr="008A32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1" w:type="dxa"/>
            <w:vAlign w:val="center"/>
          </w:tcPr>
          <w:p w14:paraId="00062858"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Castelli’s risk index –I (total cholesterol/HDL)</w:t>
            </w:r>
          </w:p>
        </w:tc>
        <w:tc>
          <w:tcPr>
            <w:tcW w:w="1447" w:type="dxa"/>
            <w:vAlign w:val="center"/>
          </w:tcPr>
          <w:p w14:paraId="074660BC"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4.376 (±1.978)</w:t>
            </w:r>
          </w:p>
        </w:tc>
      </w:tr>
      <w:tr w:rsidR="008A32EF" w:rsidRPr="008A32EF" w14:paraId="0B14C19C" w14:textId="77777777" w:rsidTr="008A32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1" w:type="dxa"/>
            <w:vAlign w:val="center"/>
          </w:tcPr>
          <w:p w14:paraId="542AFAAC"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Castelli’s risk index –II (LDL/HDL)</w:t>
            </w:r>
          </w:p>
        </w:tc>
        <w:tc>
          <w:tcPr>
            <w:tcW w:w="1447" w:type="dxa"/>
            <w:vAlign w:val="center"/>
          </w:tcPr>
          <w:p w14:paraId="0FDF783F"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2.916 (±1.695)</w:t>
            </w:r>
          </w:p>
        </w:tc>
      </w:tr>
      <w:tr w:rsidR="008A32EF" w:rsidRPr="008A32EF" w14:paraId="44427F9C" w14:textId="77777777" w:rsidTr="008A32E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1" w:type="dxa"/>
            <w:vAlign w:val="center"/>
          </w:tcPr>
          <w:p w14:paraId="36544468"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Atherogenic coefficient (total cholesterol-HDL/HDL)</w:t>
            </w:r>
          </w:p>
        </w:tc>
        <w:tc>
          <w:tcPr>
            <w:tcW w:w="1447" w:type="dxa"/>
            <w:vAlign w:val="center"/>
          </w:tcPr>
          <w:p w14:paraId="59D10F3D"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3.404 (±1.973)</w:t>
            </w:r>
          </w:p>
        </w:tc>
      </w:tr>
    </w:tbl>
    <w:p w14:paraId="57ABD77A"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Atherogenic index of plasma (AIP) &gt;0.11, with 23 patients (51.1%) falling into this category, indicating an elevated risk of atherosclerosis.</w:t>
      </w:r>
    </w:p>
    <w:p w14:paraId="76765702"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Castelli's risk index I &gt;3.5 for males and &gt;3.0 for females, with 35 patients (77.8%) exceeding these thresholds, suggesting an increased risk of coronary artery disease.</w:t>
      </w:r>
    </w:p>
    <w:p w14:paraId="0345789C" w14:textId="2F8CF0B5" w:rsidR="008A32EF" w:rsidRPr="008A32EF" w:rsidRDefault="008A32EF" w:rsidP="008A32EF">
      <w:pPr>
        <w:pStyle w:val="Noindentpara"/>
      </w:pPr>
      <w:r w:rsidRPr="008A32EF">
        <w:lastRenderedPageBreak/>
        <w:t>Castelli's risk index II &gt;3.0 was observed in 12 patients (26.7%), indicating an elevated cardiovascular risk.</w:t>
      </w:r>
    </w:p>
    <w:p w14:paraId="665D23AE"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Atherogenic coefficient &gt;3.0, with 20 patients (44.4%) having values above this threshold, signifying a higher risk of cardiovascular issues associated with an imbalanced cholesterol profile (Table 3).</w:t>
      </w:r>
    </w:p>
    <w:p w14:paraId="4CFB23D3" w14:textId="70991A57" w:rsidR="008A32EF" w:rsidRDefault="008A32EF" w:rsidP="008A32EF">
      <w:pPr>
        <w:pStyle w:val="Noindentpara"/>
        <w:jc w:val="center"/>
        <w:rPr>
          <w:b/>
          <w:color w:val="003296"/>
          <w:lang w:val="en-US"/>
        </w:rPr>
      </w:pPr>
      <w:r w:rsidRPr="008A32EF">
        <w:rPr>
          <w:b/>
          <w:color w:val="003296"/>
          <w:lang w:val="en-US"/>
        </w:rPr>
        <w:t>Table 3: Elevated values for atherogenic indices</w:t>
      </w:r>
      <w:r>
        <w:rPr>
          <w:b/>
          <w:color w:val="003296"/>
          <w:lang w:val="en-US"/>
        </w:rPr>
        <w:t>.</w:t>
      </w:r>
    </w:p>
    <w:tbl>
      <w:tblPr>
        <w:tblStyle w:val="MediumShading1-Accent11"/>
        <w:tblW w:w="0" w:type="auto"/>
        <w:jc w:val="center"/>
        <w:tblLook w:val="0420" w:firstRow="1" w:lastRow="0" w:firstColumn="0" w:lastColumn="0" w:noHBand="0" w:noVBand="1"/>
      </w:tblPr>
      <w:tblGrid>
        <w:gridCol w:w="2967"/>
        <w:gridCol w:w="1659"/>
      </w:tblGrid>
      <w:tr w:rsidR="008A32EF" w:rsidRPr="008A32EF" w14:paraId="52909701" w14:textId="77777777" w:rsidTr="008A32EF">
        <w:trPr>
          <w:cnfStyle w:val="100000000000" w:firstRow="1" w:lastRow="0" w:firstColumn="0" w:lastColumn="0" w:oddVBand="0" w:evenVBand="0" w:oddHBand="0" w:evenHBand="0" w:firstRowFirstColumn="0" w:firstRowLastColumn="0" w:lastRowFirstColumn="0" w:lastRowLastColumn="0"/>
          <w:trHeight w:val="20"/>
          <w:jc w:val="center"/>
        </w:trPr>
        <w:tc>
          <w:tcPr>
            <w:tcW w:w="2967" w:type="dxa"/>
            <w:vAlign w:val="center"/>
          </w:tcPr>
          <w:p w14:paraId="58112EC1" w14:textId="66667EA8"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Definition of high values for each atherogenic indices</w:t>
            </w:r>
          </w:p>
        </w:tc>
        <w:tc>
          <w:tcPr>
            <w:tcW w:w="1659" w:type="dxa"/>
            <w:vAlign w:val="center"/>
          </w:tcPr>
          <w:p w14:paraId="263B78A8" w14:textId="4416F48E"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bCs w:val="0"/>
                <w:sz w:val="20"/>
                <w:szCs w:val="20"/>
              </w:rPr>
              <w:t>N (patients with high values) (%)</w:t>
            </w:r>
          </w:p>
        </w:tc>
      </w:tr>
      <w:tr w:rsidR="008A32EF" w:rsidRPr="008A32EF" w14:paraId="7A9EA8A9"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0FFDD044" w14:textId="7B451BC2"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AIP &gt;0.11</w:t>
            </w:r>
          </w:p>
        </w:tc>
        <w:tc>
          <w:tcPr>
            <w:tcW w:w="1659" w:type="dxa"/>
            <w:vAlign w:val="center"/>
          </w:tcPr>
          <w:p w14:paraId="172B7E72" w14:textId="2AA8C968"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23 (51.1)</w:t>
            </w:r>
          </w:p>
        </w:tc>
      </w:tr>
      <w:tr w:rsidR="008A32EF" w:rsidRPr="008A32EF" w14:paraId="7F65AB8B"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33B96603" w14:textId="3BD88C39"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Castelli’s risk index I &gt;3.5 for males, &gt;3.0 for females</w:t>
            </w:r>
          </w:p>
        </w:tc>
        <w:tc>
          <w:tcPr>
            <w:tcW w:w="1659" w:type="dxa"/>
            <w:vAlign w:val="center"/>
          </w:tcPr>
          <w:p w14:paraId="6A8B5C6D" w14:textId="6E777429"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35 (77.8)</w:t>
            </w:r>
          </w:p>
        </w:tc>
      </w:tr>
      <w:tr w:rsidR="008A32EF" w:rsidRPr="008A32EF" w14:paraId="57030054"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tcW w:w="2967" w:type="dxa"/>
            <w:vAlign w:val="center"/>
          </w:tcPr>
          <w:p w14:paraId="7A72ED8D" w14:textId="3D144251" w:rsidR="008A32EF" w:rsidRPr="008A32EF" w:rsidRDefault="008A32EF" w:rsidP="008A32EF">
            <w:pPr>
              <w:spacing w:after="0" w:line="240" w:lineRule="auto"/>
              <w:rPr>
                <w:rFonts w:ascii="Times New Roman" w:hAnsi="Times New Roman" w:cs="Times New Roman"/>
                <w:b/>
                <w:bCs/>
                <w:sz w:val="20"/>
                <w:szCs w:val="20"/>
              </w:rPr>
            </w:pPr>
            <w:r w:rsidRPr="008A32EF">
              <w:rPr>
                <w:rFonts w:ascii="Times New Roman" w:hAnsi="Times New Roman" w:cs="Times New Roman"/>
                <w:b/>
                <w:sz w:val="20"/>
                <w:szCs w:val="20"/>
              </w:rPr>
              <w:t xml:space="preserve">Castelli’s risk index II &gt;3.0 </w:t>
            </w:r>
          </w:p>
        </w:tc>
        <w:tc>
          <w:tcPr>
            <w:tcW w:w="1659" w:type="dxa"/>
            <w:vAlign w:val="center"/>
          </w:tcPr>
          <w:p w14:paraId="26103661" w14:textId="5112B519"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12 (26.7)</w:t>
            </w:r>
          </w:p>
        </w:tc>
      </w:tr>
      <w:tr w:rsidR="008A32EF" w:rsidRPr="008A32EF" w14:paraId="1494BEF7"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tcW w:w="2967" w:type="dxa"/>
            <w:vAlign w:val="center"/>
          </w:tcPr>
          <w:p w14:paraId="29306F3C" w14:textId="5C5A6218" w:rsidR="008A32EF" w:rsidRPr="008A32EF" w:rsidRDefault="008A32EF" w:rsidP="008A32EF">
            <w:pPr>
              <w:spacing w:after="0" w:line="240" w:lineRule="auto"/>
              <w:rPr>
                <w:rFonts w:ascii="Times New Roman" w:hAnsi="Times New Roman" w:cs="Times New Roman"/>
                <w:b/>
                <w:sz w:val="20"/>
                <w:szCs w:val="20"/>
              </w:rPr>
            </w:pPr>
            <w:r w:rsidRPr="008A32EF">
              <w:rPr>
                <w:rFonts w:ascii="Times New Roman" w:hAnsi="Times New Roman" w:cs="Times New Roman"/>
                <w:b/>
                <w:sz w:val="20"/>
                <w:szCs w:val="20"/>
              </w:rPr>
              <w:t>Atherogenic coefficient &gt;3.0</w:t>
            </w:r>
          </w:p>
        </w:tc>
        <w:tc>
          <w:tcPr>
            <w:tcW w:w="1659" w:type="dxa"/>
            <w:vAlign w:val="center"/>
          </w:tcPr>
          <w:p w14:paraId="422806AC" w14:textId="05DF88F9"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20 (44.4)</w:t>
            </w:r>
          </w:p>
        </w:tc>
      </w:tr>
    </w:tbl>
    <w:p w14:paraId="7650B328" w14:textId="77777777" w:rsidR="008A32EF" w:rsidRPr="008A32EF" w:rsidRDefault="008A32EF" w:rsidP="008A32EF">
      <w:pPr>
        <w:spacing w:before="240" w:line="240" w:lineRule="auto"/>
        <w:jc w:val="both"/>
        <w:rPr>
          <w:rFonts w:ascii="Times New Roman" w:hAnsi="Times New Roman"/>
          <w:b/>
          <w:i/>
          <w:sz w:val="20"/>
          <w:szCs w:val="20"/>
        </w:rPr>
      </w:pPr>
      <w:r w:rsidRPr="008A32EF">
        <w:rPr>
          <w:rFonts w:ascii="Times New Roman" w:hAnsi="Times New Roman"/>
          <w:b/>
          <w:i/>
          <w:sz w:val="20"/>
          <w:szCs w:val="20"/>
        </w:rPr>
        <w:t xml:space="preserve">Bivariate analysis </w:t>
      </w:r>
    </w:p>
    <w:p w14:paraId="10F5FF85"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The study examined the interactions between various variables and determined their significance levels. The product of the atherogenic index of plasma (AIP) and waist-hip ratio (WHR) yielded a value of 0.301, with a statistically significant p value of 0.045. Conversely, the interaction between AIP and body mass index (BMI) resulted in a value of 0.067, demonstrating a non-significant p-value of 0.662. AIP combined with fasting blood sugar (FBS) produced a value of 0.339, and this interaction was found to be statistically significant with a p value of 0.023. Lastly, the product of AIP and uric acid (UA) generated a value of 0.221, with a non-significant p-value of 0.144. These results highlight the varying degrees of association between AIP and physiological variables, providing valuable insights into potential relationships.</w:t>
      </w:r>
    </w:p>
    <w:p w14:paraId="519AF46E" w14:textId="77777777" w:rsidR="00E674A9"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 xml:space="preserve">The study examined various factors and their proportions within the high and low AIP groups. Among those with high AIP (N=23), 21.7% had metabolic syndrome, whereas none in the low AIP group (n=22) exhibited this condition, resulting in a statistically significant p value of 0.049. High disease activity was present in 91.3% of the high AIP group, compared to 77.3% in the low AIP group, but this difference was not statistically significant (p value=0.243). </w:t>
      </w:r>
    </w:p>
    <w:p w14:paraId="485839B4" w14:textId="2BFB1CB8" w:rsidR="008A32EF" w:rsidRDefault="00362175" w:rsidP="008A32EF">
      <w:pPr>
        <w:spacing w:before="240" w:line="240" w:lineRule="auto"/>
        <w:jc w:val="both"/>
        <w:rPr>
          <w:rFonts w:ascii="Times New Roman" w:hAnsi="Times New Roman"/>
          <w:sz w:val="20"/>
          <w:szCs w:val="20"/>
        </w:rPr>
      </w:pPr>
      <w:r w:rsidRPr="00362175">
        <w:rPr>
          <w:rFonts w:ascii="Times New Roman" w:hAnsi="Times New Roman"/>
          <w:sz w:val="20"/>
          <w:szCs w:val="20"/>
        </w:rPr>
        <w:t>A higher proportion of patients in the high AIP group were current TNF users, although the results did not reach statistical significance</w:t>
      </w:r>
      <w:r w:rsidR="008A32EF" w:rsidRPr="008A32EF">
        <w:rPr>
          <w:rFonts w:ascii="Times New Roman" w:hAnsi="Times New Roman"/>
          <w:sz w:val="20"/>
          <w:szCs w:val="20"/>
        </w:rPr>
        <w:t xml:space="preserve"> (Table 4).</w:t>
      </w:r>
    </w:p>
    <w:p w14:paraId="3BBD2597"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Fasting blood glucose levels were significantly higher in the high CRI-1 group (87.07) compared to the low CRI-1 group (75.06) with a p-value of 0.033, suggesting a potential association between higher blood glucose and elevated CRI-1.</w:t>
      </w:r>
    </w:p>
    <w:p w14:paraId="6257D630"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Uric acid levels did not show a significant difference between the high CRI-1 (5.131) and low CRI-1 (4.910) groups (p value: 0.968).</w:t>
      </w:r>
    </w:p>
    <w:p w14:paraId="5EC0E273"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lastRenderedPageBreak/>
        <w:t>ESR levels were also not significantly different between the two groups, with the high CRI-1 group having an average of 23.89 and the low CRI-1 group having an average of 36.40 (p value: 0.262).</w:t>
      </w:r>
    </w:p>
    <w:p w14:paraId="28BC4F03"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CRP levels exhibited no significant difference, as the high CRI-1 group had an average of 14.680, while the low CRI-1 group had an average of 12.7 (p value: 0.352).</w:t>
      </w:r>
    </w:p>
    <w:p w14:paraId="5B2FFBE2"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BMI showed a trend towards significance, with the high CRI-1 group having a higher mean BMI (25.851) than the low CRI-1 group (22.750), although the p value was 0.088.</w:t>
      </w:r>
    </w:p>
    <w:p w14:paraId="7C91AF5E" w14:textId="31CBCFA1"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The waist-hip ratio did not significantly differ between the high CRI-1 (0.8863) and low CRI-1 (0.8660) groups, with a p value of 0.411 (Table 5).</w:t>
      </w:r>
    </w:p>
    <w:p w14:paraId="3C9476B7" w14:textId="618100FF" w:rsidR="008A32EF" w:rsidRDefault="008A32EF" w:rsidP="008A32EF">
      <w:pPr>
        <w:pStyle w:val="Noindentpara"/>
        <w:jc w:val="center"/>
        <w:rPr>
          <w:b/>
          <w:color w:val="003296"/>
          <w:lang w:val="en-US"/>
        </w:rPr>
      </w:pPr>
      <w:r w:rsidRPr="008A32EF">
        <w:rPr>
          <w:b/>
          <w:color w:val="003296"/>
          <w:lang w:val="en-US"/>
        </w:rPr>
        <w:t>Table 4: Chi-square test comparison for metabolic factors</w:t>
      </w:r>
      <w:r>
        <w:rPr>
          <w:b/>
          <w:color w:val="003296"/>
          <w:lang w:val="en-US"/>
        </w:rPr>
        <w:t>.</w:t>
      </w:r>
    </w:p>
    <w:tbl>
      <w:tblPr>
        <w:tblStyle w:val="MediumShading1-Accent11"/>
        <w:tblW w:w="0" w:type="auto"/>
        <w:jc w:val="center"/>
        <w:tblLook w:val="04A0" w:firstRow="1" w:lastRow="0" w:firstColumn="1" w:lastColumn="0" w:noHBand="0" w:noVBand="1"/>
      </w:tblPr>
      <w:tblGrid>
        <w:gridCol w:w="1408"/>
        <w:gridCol w:w="1276"/>
        <w:gridCol w:w="1270"/>
        <w:gridCol w:w="674"/>
      </w:tblGrid>
      <w:tr w:rsidR="008A32EF" w:rsidRPr="008A32EF" w14:paraId="1B54D19E" w14:textId="77777777" w:rsidTr="008A32E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72E24FF7" w14:textId="77777777" w:rsidR="008A32EF" w:rsidRPr="008A32EF" w:rsidRDefault="008A32EF" w:rsidP="008A32EF">
            <w:pPr>
              <w:spacing w:after="0" w:line="240" w:lineRule="auto"/>
              <w:rPr>
                <w:rFonts w:ascii="Times New Roman" w:hAnsi="Times New Roman" w:cs="Times New Roman"/>
                <w:sz w:val="20"/>
                <w:szCs w:val="20"/>
              </w:rPr>
            </w:pPr>
            <w:bookmarkStart w:id="2" w:name="_Hlk139496200"/>
            <w:r w:rsidRPr="008A32EF">
              <w:rPr>
                <w:rFonts w:ascii="Times New Roman" w:hAnsi="Times New Roman" w:cs="Times New Roman"/>
                <w:sz w:val="20"/>
                <w:szCs w:val="20"/>
              </w:rPr>
              <w:t>Factors</w:t>
            </w:r>
          </w:p>
        </w:tc>
        <w:tc>
          <w:tcPr>
            <w:tcW w:w="1276" w:type="dxa"/>
            <w:vAlign w:val="center"/>
          </w:tcPr>
          <w:p w14:paraId="6F22ABB1" w14:textId="0C3851D1"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 xml:space="preserve">Proportion within </w:t>
            </w:r>
            <w:r>
              <w:rPr>
                <w:rFonts w:ascii="Times New Roman" w:hAnsi="Times New Roman" w:cs="Times New Roman"/>
                <w:sz w:val="20"/>
                <w:szCs w:val="20"/>
              </w:rPr>
              <w:t>h</w:t>
            </w:r>
            <w:r w:rsidRPr="008A32EF">
              <w:rPr>
                <w:rFonts w:ascii="Times New Roman" w:hAnsi="Times New Roman" w:cs="Times New Roman"/>
                <w:sz w:val="20"/>
                <w:szCs w:val="20"/>
              </w:rPr>
              <w:t>igh AIP N=23 (% within high AIP)</w:t>
            </w:r>
          </w:p>
        </w:tc>
        <w:tc>
          <w:tcPr>
            <w:tcW w:w="1270" w:type="dxa"/>
            <w:vAlign w:val="center"/>
          </w:tcPr>
          <w:p w14:paraId="202193F9"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Proportion within low AIP (n=22) (% within low AIP)</w:t>
            </w:r>
          </w:p>
        </w:tc>
        <w:tc>
          <w:tcPr>
            <w:tcW w:w="674" w:type="dxa"/>
            <w:vAlign w:val="center"/>
          </w:tcPr>
          <w:p w14:paraId="433675DF"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P value</w:t>
            </w:r>
          </w:p>
        </w:tc>
      </w:tr>
      <w:tr w:rsidR="008A32EF" w:rsidRPr="008A32EF" w14:paraId="27064023"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1FFA5991"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Metabolic syndrome</w:t>
            </w:r>
          </w:p>
        </w:tc>
        <w:tc>
          <w:tcPr>
            <w:tcW w:w="1276" w:type="dxa"/>
            <w:vAlign w:val="center"/>
          </w:tcPr>
          <w:p w14:paraId="624AC7DF"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5 (21.7)</w:t>
            </w:r>
          </w:p>
        </w:tc>
        <w:tc>
          <w:tcPr>
            <w:tcW w:w="1270" w:type="dxa"/>
            <w:vAlign w:val="center"/>
          </w:tcPr>
          <w:p w14:paraId="69E298B1"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 (0)</w:t>
            </w:r>
          </w:p>
        </w:tc>
        <w:tc>
          <w:tcPr>
            <w:tcW w:w="674" w:type="dxa"/>
            <w:vAlign w:val="center"/>
          </w:tcPr>
          <w:p w14:paraId="3508A09C"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0.049</w:t>
            </w:r>
          </w:p>
        </w:tc>
      </w:tr>
      <w:tr w:rsidR="008A32EF" w:rsidRPr="008A32EF" w14:paraId="6423F537"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35D752C9"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High disease activity</w:t>
            </w:r>
          </w:p>
        </w:tc>
        <w:tc>
          <w:tcPr>
            <w:tcW w:w="1276" w:type="dxa"/>
            <w:vAlign w:val="center"/>
          </w:tcPr>
          <w:p w14:paraId="208FBB38"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21 (91.3)</w:t>
            </w:r>
          </w:p>
        </w:tc>
        <w:tc>
          <w:tcPr>
            <w:tcW w:w="1270" w:type="dxa"/>
            <w:vAlign w:val="center"/>
          </w:tcPr>
          <w:p w14:paraId="450E10C9"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17 (77.3)</w:t>
            </w:r>
          </w:p>
        </w:tc>
        <w:tc>
          <w:tcPr>
            <w:tcW w:w="674" w:type="dxa"/>
            <w:vAlign w:val="center"/>
          </w:tcPr>
          <w:p w14:paraId="47A6C6C3"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0.243</w:t>
            </w:r>
          </w:p>
        </w:tc>
      </w:tr>
      <w:tr w:rsidR="008A32EF" w:rsidRPr="008A32EF" w14:paraId="62566167"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528318AB"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Current TNF (</w:t>
            </w:r>
            <w:proofErr w:type="spellStart"/>
            <w:r w:rsidRPr="008A32EF">
              <w:rPr>
                <w:rFonts w:ascii="Times New Roman" w:hAnsi="Times New Roman" w:cs="Times New Roman"/>
                <w:sz w:val="20"/>
                <w:szCs w:val="20"/>
              </w:rPr>
              <w:t>i</w:t>
            </w:r>
            <w:proofErr w:type="spellEnd"/>
            <w:r w:rsidRPr="008A32EF">
              <w:rPr>
                <w:rFonts w:ascii="Times New Roman" w:hAnsi="Times New Roman" w:cs="Times New Roman"/>
                <w:sz w:val="20"/>
                <w:szCs w:val="20"/>
              </w:rPr>
              <w:t>) use</w:t>
            </w:r>
          </w:p>
        </w:tc>
        <w:tc>
          <w:tcPr>
            <w:tcW w:w="1276" w:type="dxa"/>
            <w:vAlign w:val="center"/>
          </w:tcPr>
          <w:p w14:paraId="0A564239"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10 (43.5)</w:t>
            </w:r>
          </w:p>
        </w:tc>
        <w:tc>
          <w:tcPr>
            <w:tcW w:w="1270" w:type="dxa"/>
            <w:vAlign w:val="center"/>
          </w:tcPr>
          <w:p w14:paraId="2A373FFA"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8 (36.4%)</w:t>
            </w:r>
          </w:p>
        </w:tc>
        <w:tc>
          <w:tcPr>
            <w:tcW w:w="674" w:type="dxa"/>
            <w:vAlign w:val="center"/>
          </w:tcPr>
          <w:p w14:paraId="249E274C"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0.763</w:t>
            </w:r>
          </w:p>
        </w:tc>
      </w:tr>
    </w:tbl>
    <w:bookmarkEnd w:id="2"/>
    <w:p w14:paraId="2D102708" w14:textId="73229679" w:rsidR="008A32EF" w:rsidRDefault="008A32EF" w:rsidP="008A32EF">
      <w:pPr>
        <w:pStyle w:val="Noindentpara"/>
        <w:jc w:val="center"/>
        <w:rPr>
          <w:b/>
          <w:color w:val="003296"/>
          <w:lang w:val="en-US"/>
        </w:rPr>
      </w:pPr>
      <w:r w:rsidRPr="008A32EF">
        <w:rPr>
          <w:b/>
          <w:color w:val="003296"/>
          <w:lang w:val="en-US"/>
        </w:rPr>
        <w:t>Table 5: CR-1 index comparison with factors</w:t>
      </w:r>
      <w:r>
        <w:rPr>
          <w:b/>
          <w:color w:val="003296"/>
          <w:lang w:val="en-US"/>
        </w:rPr>
        <w:t>.</w:t>
      </w:r>
    </w:p>
    <w:tbl>
      <w:tblPr>
        <w:tblStyle w:val="MediumShading1-Accent11"/>
        <w:tblW w:w="5000" w:type="pct"/>
        <w:jc w:val="center"/>
        <w:tblLook w:val="04A0" w:firstRow="1" w:lastRow="0" w:firstColumn="1" w:lastColumn="0" w:noHBand="0" w:noVBand="1"/>
      </w:tblPr>
      <w:tblGrid>
        <w:gridCol w:w="1550"/>
        <w:gridCol w:w="1134"/>
        <w:gridCol w:w="992"/>
        <w:gridCol w:w="952"/>
      </w:tblGrid>
      <w:tr w:rsidR="008A32EF" w:rsidRPr="008A32EF" w14:paraId="38E980AB" w14:textId="77777777" w:rsidTr="008A32E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70831E2F" w14:textId="3F1EDD92" w:rsidR="008A32EF" w:rsidRPr="008A32EF" w:rsidRDefault="008A32EF" w:rsidP="008A32EF">
            <w:pPr>
              <w:spacing w:after="0" w:line="240" w:lineRule="auto"/>
              <w:rPr>
                <w:rFonts w:ascii="Times New Roman" w:hAnsi="Times New Roman" w:cs="Times New Roman"/>
                <w:bCs w:val="0"/>
                <w:sz w:val="20"/>
                <w:szCs w:val="20"/>
              </w:rPr>
            </w:pPr>
            <w:bookmarkStart w:id="3" w:name="_Hlk139491106"/>
            <w:r w:rsidRPr="008A32EF">
              <w:rPr>
                <w:rFonts w:ascii="Times New Roman" w:hAnsi="Times New Roman" w:cs="Times New Roman"/>
                <w:bCs w:val="0"/>
                <w:sz w:val="20"/>
                <w:szCs w:val="20"/>
              </w:rPr>
              <w:t>Factors</w:t>
            </w:r>
          </w:p>
        </w:tc>
        <w:tc>
          <w:tcPr>
            <w:tcW w:w="1225" w:type="pct"/>
            <w:vAlign w:val="center"/>
          </w:tcPr>
          <w:p w14:paraId="6D9C0AAF" w14:textId="443B7545"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Cs w:val="0"/>
                <w:sz w:val="20"/>
                <w:szCs w:val="20"/>
              </w:rPr>
              <w:t xml:space="preserve">Mean in high CRI-1 </w:t>
            </w:r>
            <w:r w:rsidRPr="008A32EF">
              <w:rPr>
                <w:rFonts w:ascii="Times New Roman" w:hAnsi="Times New Roman" w:cs="Times New Roman"/>
                <w:bCs w:val="0"/>
                <w:sz w:val="20"/>
                <w:szCs w:val="20"/>
              </w:rPr>
              <w:t>(n=35)</w:t>
            </w:r>
          </w:p>
        </w:tc>
        <w:tc>
          <w:tcPr>
            <w:tcW w:w="1072" w:type="pct"/>
            <w:vAlign w:val="center"/>
          </w:tcPr>
          <w:p w14:paraId="1652C4B4"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A32EF">
              <w:rPr>
                <w:rFonts w:ascii="Times New Roman" w:hAnsi="Times New Roman" w:cs="Times New Roman"/>
                <w:bCs w:val="0"/>
                <w:sz w:val="20"/>
                <w:szCs w:val="20"/>
              </w:rPr>
              <w:t>Mean in low CRI-(n=10)</w:t>
            </w:r>
          </w:p>
        </w:tc>
        <w:tc>
          <w:tcPr>
            <w:tcW w:w="1029" w:type="pct"/>
            <w:vAlign w:val="center"/>
          </w:tcPr>
          <w:p w14:paraId="0050DAE0"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8A32EF">
              <w:rPr>
                <w:rFonts w:ascii="Times New Roman" w:hAnsi="Times New Roman" w:cs="Times New Roman"/>
                <w:bCs w:val="0"/>
                <w:sz w:val="20"/>
                <w:szCs w:val="20"/>
              </w:rPr>
              <w:t>P value (Mann Whitney U)</w:t>
            </w:r>
          </w:p>
        </w:tc>
      </w:tr>
      <w:tr w:rsidR="008A32EF" w:rsidRPr="008A32EF" w14:paraId="28837880"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70F9E9ED" w14:textId="08E48491" w:rsidR="008A32EF" w:rsidRPr="008A32EF" w:rsidRDefault="008A32EF" w:rsidP="008A32EF">
            <w:pPr>
              <w:spacing w:after="0" w:line="240" w:lineRule="auto"/>
              <w:rPr>
                <w:rFonts w:ascii="Times New Roman" w:hAnsi="Times New Roman" w:cs="Times New Roman"/>
                <w:bCs w:val="0"/>
                <w:sz w:val="20"/>
                <w:szCs w:val="20"/>
              </w:rPr>
            </w:pPr>
            <w:r>
              <w:rPr>
                <w:rFonts w:ascii="Times New Roman" w:hAnsi="Times New Roman" w:cs="Times New Roman"/>
                <w:bCs w:val="0"/>
                <w:sz w:val="20"/>
                <w:szCs w:val="20"/>
              </w:rPr>
              <w:t xml:space="preserve">Fasting blood </w:t>
            </w:r>
            <w:r w:rsidRPr="008A32EF">
              <w:rPr>
                <w:rFonts w:ascii="Times New Roman" w:hAnsi="Times New Roman" w:cs="Times New Roman"/>
                <w:bCs w:val="0"/>
                <w:sz w:val="20"/>
                <w:szCs w:val="20"/>
              </w:rPr>
              <w:t>glucose</w:t>
            </w:r>
          </w:p>
        </w:tc>
        <w:tc>
          <w:tcPr>
            <w:tcW w:w="1225" w:type="pct"/>
            <w:vAlign w:val="center"/>
          </w:tcPr>
          <w:p w14:paraId="3E900E1A"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87.07</w:t>
            </w:r>
          </w:p>
        </w:tc>
        <w:tc>
          <w:tcPr>
            <w:tcW w:w="1072" w:type="pct"/>
            <w:vAlign w:val="center"/>
          </w:tcPr>
          <w:p w14:paraId="3779CF97"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75.06</w:t>
            </w:r>
          </w:p>
        </w:tc>
        <w:tc>
          <w:tcPr>
            <w:tcW w:w="1029" w:type="pct"/>
            <w:vAlign w:val="center"/>
          </w:tcPr>
          <w:p w14:paraId="571DAD05" w14:textId="23AD750D"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8A32EF">
              <w:rPr>
                <w:rFonts w:ascii="Times New Roman" w:hAnsi="Times New Roman" w:cs="Times New Roman"/>
                <w:bCs/>
                <w:sz w:val="20"/>
                <w:szCs w:val="20"/>
              </w:rPr>
              <w:t>0.033</w:t>
            </w:r>
          </w:p>
        </w:tc>
      </w:tr>
      <w:tr w:rsidR="008A32EF" w:rsidRPr="008A32EF" w14:paraId="0C98DD3E"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56B29E9D"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Uric acid</w:t>
            </w:r>
          </w:p>
        </w:tc>
        <w:tc>
          <w:tcPr>
            <w:tcW w:w="1225" w:type="pct"/>
            <w:vAlign w:val="center"/>
          </w:tcPr>
          <w:p w14:paraId="1D7BDE41"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5.131</w:t>
            </w:r>
          </w:p>
        </w:tc>
        <w:tc>
          <w:tcPr>
            <w:tcW w:w="1072" w:type="pct"/>
            <w:vAlign w:val="center"/>
          </w:tcPr>
          <w:p w14:paraId="340A28B3"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4.910</w:t>
            </w:r>
          </w:p>
        </w:tc>
        <w:tc>
          <w:tcPr>
            <w:tcW w:w="1029" w:type="pct"/>
            <w:vAlign w:val="center"/>
          </w:tcPr>
          <w:p w14:paraId="04C820A4" w14:textId="201EB0A4"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8A32EF">
              <w:rPr>
                <w:rFonts w:ascii="Times New Roman" w:hAnsi="Times New Roman" w:cs="Times New Roman"/>
                <w:bCs/>
                <w:sz w:val="20"/>
                <w:szCs w:val="20"/>
              </w:rPr>
              <w:t>0.</w:t>
            </w:r>
            <w:r w:rsidRPr="008A32EF">
              <w:rPr>
                <w:rFonts w:ascii="Times New Roman" w:hAnsi="Times New Roman" w:cs="Times New Roman"/>
                <w:sz w:val="20"/>
                <w:szCs w:val="20"/>
              </w:rPr>
              <w:t>968</w:t>
            </w:r>
          </w:p>
        </w:tc>
      </w:tr>
      <w:tr w:rsidR="008A32EF" w:rsidRPr="008A32EF" w14:paraId="5DC7E838"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5F6C46B3"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ESR</w:t>
            </w:r>
          </w:p>
        </w:tc>
        <w:tc>
          <w:tcPr>
            <w:tcW w:w="1225" w:type="pct"/>
            <w:vAlign w:val="center"/>
          </w:tcPr>
          <w:p w14:paraId="57E11D30"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23.89</w:t>
            </w:r>
          </w:p>
        </w:tc>
        <w:tc>
          <w:tcPr>
            <w:tcW w:w="1072" w:type="pct"/>
            <w:vAlign w:val="center"/>
          </w:tcPr>
          <w:p w14:paraId="7229A44F"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36.40</w:t>
            </w:r>
          </w:p>
        </w:tc>
        <w:tc>
          <w:tcPr>
            <w:tcW w:w="1029" w:type="pct"/>
            <w:vAlign w:val="center"/>
          </w:tcPr>
          <w:p w14:paraId="42915DCA" w14:textId="282B9B6D"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0.262</w:t>
            </w:r>
          </w:p>
        </w:tc>
      </w:tr>
      <w:tr w:rsidR="008A32EF" w:rsidRPr="008A32EF" w14:paraId="4DB5CDD9"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5924A461"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CRP</w:t>
            </w:r>
          </w:p>
        </w:tc>
        <w:tc>
          <w:tcPr>
            <w:tcW w:w="1225" w:type="pct"/>
            <w:vAlign w:val="center"/>
          </w:tcPr>
          <w:p w14:paraId="6DC2F6A0"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14.680</w:t>
            </w:r>
          </w:p>
        </w:tc>
        <w:tc>
          <w:tcPr>
            <w:tcW w:w="1072" w:type="pct"/>
            <w:vAlign w:val="center"/>
          </w:tcPr>
          <w:p w14:paraId="6B7C4CB6"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12.7</w:t>
            </w:r>
          </w:p>
        </w:tc>
        <w:tc>
          <w:tcPr>
            <w:tcW w:w="1029" w:type="pct"/>
            <w:vAlign w:val="center"/>
          </w:tcPr>
          <w:p w14:paraId="1A97D43C" w14:textId="67C28AB0"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8A32EF">
              <w:rPr>
                <w:rFonts w:ascii="Times New Roman" w:hAnsi="Times New Roman" w:cs="Times New Roman"/>
                <w:bCs/>
                <w:sz w:val="20"/>
                <w:szCs w:val="20"/>
              </w:rPr>
              <w:t>0.</w:t>
            </w:r>
            <w:r w:rsidRPr="008A32EF">
              <w:rPr>
                <w:rFonts w:ascii="Times New Roman" w:hAnsi="Times New Roman" w:cs="Times New Roman"/>
                <w:sz w:val="20"/>
                <w:szCs w:val="20"/>
              </w:rPr>
              <w:t>352</w:t>
            </w:r>
          </w:p>
        </w:tc>
      </w:tr>
      <w:tr w:rsidR="008A32EF" w:rsidRPr="008A32EF" w14:paraId="7E4DE81E"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52A6E5AF"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BMI</w:t>
            </w:r>
          </w:p>
        </w:tc>
        <w:tc>
          <w:tcPr>
            <w:tcW w:w="1225" w:type="pct"/>
            <w:vAlign w:val="center"/>
          </w:tcPr>
          <w:p w14:paraId="67C63AF8"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25.851</w:t>
            </w:r>
          </w:p>
        </w:tc>
        <w:tc>
          <w:tcPr>
            <w:tcW w:w="1072" w:type="pct"/>
            <w:vAlign w:val="center"/>
          </w:tcPr>
          <w:p w14:paraId="3AD1387A"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22.750</w:t>
            </w:r>
          </w:p>
        </w:tc>
        <w:tc>
          <w:tcPr>
            <w:tcW w:w="1029" w:type="pct"/>
            <w:vAlign w:val="center"/>
          </w:tcPr>
          <w:p w14:paraId="077067E1" w14:textId="3D6D3611"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0.088</w:t>
            </w:r>
          </w:p>
        </w:tc>
      </w:tr>
      <w:tr w:rsidR="008A32EF" w:rsidRPr="008A32EF" w14:paraId="1FE270C4"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75" w:type="pct"/>
            <w:vAlign w:val="center"/>
          </w:tcPr>
          <w:p w14:paraId="0DCECEBF" w14:textId="77777777" w:rsidR="008A32EF" w:rsidRPr="008A32EF" w:rsidRDefault="008A32EF" w:rsidP="008A32EF">
            <w:pPr>
              <w:spacing w:after="0" w:line="240" w:lineRule="auto"/>
              <w:rPr>
                <w:rFonts w:ascii="Times New Roman" w:hAnsi="Times New Roman" w:cs="Times New Roman"/>
                <w:bCs w:val="0"/>
                <w:sz w:val="20"/>
                <w:szCs w:val="20"/>
              </w:rPr>
            </w:pPr>
            <w:r w:rsidRPr="008A32EF">
              <w:rPr>
                <w:rFonts w:ascii="Times New Roman" w:hAnsi="Times New Roman" w:cs="Times New Roman"/>
                <w:bCs w:val="0"/>
                <w:sz w:val="20"/>
                <w:szCs w:val="20"/>
              </w:rPr>
              <w:t>Waist hip ratio</w:t>
            </w:r>
          </w:p>
        </w:tc>
        <w:tc>
          <w:tcPr>
            <w:tcW w:w="1225" w:type="pct"/>
            <w:vAlign w:val="center"/>
          </w:tcPr>
          <w:p w14:paraId="51DE3500" w14:textId="299BB2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8A32EF">
              <w:rPr>
                <w:rFonts w:ascii="Times New Roman" w:hAnsi="Times New Roman" w:cs="Times New Roman"/>
                <w:sz w:val="20"/>
                <w:szCs w:val="20"/>
              </w:rPr>
              <w:t>.8863</w:t>
            </w:r>
          </w:p>
        </w:tc>
        <w:tc>
          <w:tcPr>
            <w:tcW w:w="1072" w:type="pct"/>
            <w:vAlign w:val="center"/>
          </w:tcPr>
          <w:p w14:paraId="54A42301" w14:textId="2372D12D"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8A32EF">
              <w:rPr>
                <w:rFonts w:ascii="Times New Roman" w:hAnsi="Times New Roman" w:cs="Times New Roman"/>
                <w:sz w:val="20"/>
                <w:szCs w:val="20"/>
              </w:rPr>
              <w:t>.8660</w:t>
            </w:r>
          </w:p>
        </w:tc>
        <w:tc>
          <w:tcPr>
            <w:tcW w:w="1029" w:type="pct"/>
            <w:vAlign w:val="center"/>
          </w:tcPr>
          <w:p w14:paraId="37DFCDAE" w14:textId="3E3120D1"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0.411</w:t>
            </w:r>
          </w:p>
        </w:tc>
      </w:tr>
    </w:tbl>
    <w:bookmarkEnd w:id="3"/>
    <w:p w14:paraId="789159E9"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The proportion of patients with metabolic syndrome was 14.3% in the high CRI-I group and 0% in the low CRI-I group, but this difference did not reach statistical significance (p value: 0.571).</w:t>
      </w:r>
    </w:p>
    <w:p w14:paraId="7B3347DC"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High disease activity was observed in 76.3% of patients in the high CRI-I group and 90% in the low CRI-I group, with no significant difference between the two groups (p value: 0.506).</w:t>
      </w:r>
    </w:p>
    <w:p w14:paraId="7958CBD0"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Current use of TNF inhibitors was reported by 42.9% of patients in the high CRI-I group and 30% in the low CRI-</w:t>
      </w:r>
      <w:r w:rsidRPr="008A32EF">
        <w:rPr>
          <w:rFonts w:ascii="Times New Roman" w:hAnsi="Times New Roman"/>
          <w:sz w:val="20"/>
          <w:szCs w:val="20"/>
        </w:rPr>
        <w:lastRenderedPageBreak/>
        <w:t>I group, and this difference was not statistically significant (p value: 0.716) (Table 6).</w:t>
      </w:r>
    </w:p>
    <w:p w14:paraId="10F38377" w14:textId="5D1E921B" w:rsidR="008A32EF" w:rsidRDefault="008A32EF" w:rsidP="008A32EF">
      <w:pPr>
        <w:pStyle w:val="Noindentpara"/>
        <w:jc w:val="center"/>
        <w:rPr>
          <w:b/>
          <w:color w:val="003296"/>
          <w:lang w:val="en-US"/>
        </w:rPr>
      </w:pPr>
      <w:r w:rsidRPr="008A32EF">
        <w:rPr>
          <w:b/>
          <w:color w:val="003296"/>
          <w:lang w:val="en-US"/>
        </w:rPr>
        <w:t>Table 6: CRI-1 index comparison</w:t>
      </w:r>
      <w:r>
        <w:rPr>
          <w:b/>
          <w:color w:val="003296"/>
          <w:lang w:val="en-US"/>
        </w:rPr>
        <w:t>.</w:t>
      </w:r>
    </w:p>
    <w:tbl>
      <w:tblPr>
        <w:tblStyle w:val="MediumShading1-Accent11"/>
        <w:tblW w:w="0" w:type="auto"/>
        <w:jc w:val="center"/>
        <w:tblLook w:val="04A0" w:firstRow="1" w:lastRow="0" w:firstColumn="1" w:lastColumn="0" w:noHBand="0" w:noVBand="1"/>
      </w:tblPr>
      <w:tblGrid>
        <w:gridCol w:w="1408"/>
        <w:gridCol w:w="1385"/>
        <w:gridCol w:w="1161"/>
        <w:gridCol w:w="674"/>
      </w:tblGrid>
      <w:tr w:rsidR="008A32EF" w:rsidRPr="008A32EF" w14:paraId="78A633C7" w14:textId="77777777" w:rsidTr="008A32E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469F8366"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Factors</w:t>
            </w:r>
          </w:p>
        </w:tc>
        <w:tc>
          <w:tcPr>
            <w:tcW w:w="1385" w:type="dxa"/>
            <w:vAlign w:val="center"/>
          </w:tcPr>
          <w:p w14:paraId="7080B399" w14:textId="7603F7D0"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 xml:space="preserve">Proportion within </w:t>
            </w:r>
            <w:r>
              <w:rPr>
                <w:rFonts w:ascii="Times New Roman" w:hAnsi="Times New Roman" w:cs="Times New Roman"/>
                <w:sz w:val="20"/>
                <w:szCs w:val="20"/>
              </w:rPr>
              <w:t>h</w:t>
            </w:r>
            <w:r w:rsidRPr="008A32EF">
              <w:rPr>
                <w:rFonts w:ascii="Times New Roman" w:hAnsi="Times New Roman" w:cs="Times New Roman"/>
                <w:sz w:val="20"/>
                <w:szCs w:val="20"/>
              </w:rPr>
              <w:t>igh CRI- (n=35) I (%)</w:t>
            </w:r>
          </w:p>
        </w:tc>
        <w:tc>
          <w:tcPr>
            <w:tcW w:w="1161" w:type="dxa"/>
            <w:vAlign w:val="center"/>
          </w:tcPr>
          <w:p w14:paraId="1476E2BB"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Proportion within low CRI-I (n=10) (%)</w:t>
            </w:r>
          </w:p>
        </w:tc>
        <w:tc>
          <w:tcPr>
            <w:tcW w:w="674" w:type="dxa"/>
            <w:vAlign w:val="center"/>
          </w:tcPr>
          <w:p w14:paraId="2FE4D403" w14:textId="77777777" w:rsidR="008A32EF" w:rsidRPr="008A32EF" w:rsidRDefault="008A32EF" w:rsidP="008A32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P value</w:t>
            </w:r>
          </w:p>
        </w:tc>
      </w:tr>
      <w:tr w:rsidR="008A32EF" w:rsidRPr="008A32EF" w14:paraId="22704F04"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1B1D5E71"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Metabolic syndrome</w:t>
            </w:r>
          </w:p>
        </w:tc>
        <w:tc>
          <w:tcPr>
            <w:tcW w:w="1385" w:type="dxa"/>
            <w:vAlign w:val="center"/>
          </w:tcPr>
          <w:p w14:paraId="50BCE659"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5 (14.3)</w:t>
            </w:r>
          </w:p>
        </w:tc>
        <w:tc>
          <w:tcPr>
            <w:tcW w:w="1161" w:type="dxa"/>
            <w:vAlign w:val="center"/>
          </w:tcPr>
          <w:p w14:paraId="79DDC13D"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0 (0)</w:t>
            </w:r>
          </w:p>
        </w:tc>
        <w:tc>
          <w:tcPr>
            <w:tcW w:w="674" w:type="dxa"/>
            <w:vAlign w:val="center"/>
          </w:tcPr>
          <w:p w14:paraId="4B4B4A5A" w14:textId="41319D50"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8A32EF">
              <w:rPr>
                <w:rFonts w:ascii="Times New Roman" w:hAnsi="Times New Roman" w:cs="Times New Roman"/>
                <w:sz w:val="20"/>
                <w:szCs w:val="20"/>
              </w:rPr>
              <w:t>.571</w:t>
            </w:r>
          </w:p>
        </w:tc>
      </w:tr>
      <w:tr w:rsidR="008A32EF" w:rsidRPr="008A32EF" w14:paraId="36B94FC5" w14:textId="77777777" w:rsidTr="008A32EF">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49940AA5"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High disease activity</w:t>
            </w:r>
          </w:p>
        </w:tc>
        <w:tc>
          <w:tcPr>
            <w:tcW w:w="1385" w:type="dxa"/>
            <w:vAlign w:val="center"/>
          </w:tcPr>
          <w:p w14:paraId="4F692CA3" w14:textId="77777777"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29 (76.3)</w:t>
            </w:r>
          </w:p>
        </w:tc>
        <w:tc>
          <w:tcPr>
            <w:tcW w:w="1161" w:type="dxa"/>
            <w:vAlign w:val="center"/>
          </w:tcPr>
          <w:p w14:paraId="10E25B1C" w14:textId="32B0BD99"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9</w:t>
            </w:r>
            <w:r>
              <w:rPr>
                <w:rFonts w:ascii="Times New Roman" w:hAnsi="Times New Roman" w:cs="Times New Roman"/>
                <w:sz w:val="20"/>
                <w:szCs w:val="20"/>
              </w:rPr>
              <w:t xml:space="preserve"> </w:t>
            </w:r>
            <w:r w:rsidRPr="008A32EF">
              <w:rPr>
                <w:rFonts w:ascii="Times New Roman" w:hAnsi="Times New Roman" w:cs="Times New Roman"/>
                <w:sz w:val="20"/>
                <w:szCs w:val="20"/>
              </w:rPr>
              <w:t>(90)</w:t>
            </w:r>
          </w:p>
        </w:tc>
        <w:tc>
          <w:tcPr>
            <w:tcW w:w="674" w:type="dxa"/>
            <w:vAlign w:val="center"/>
          </w:tcPr>
          <w:p w14:paraId="56CDF83E" w14:textId="3281965C" w:rsidR="008A32EF" w:rsidRPr="008A32EF" w:rsidRDefault="008A32EF" w:rsidP="008A32EF">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8A32EF">
              <w:rPr>
                <w:rFonts w:ascii="Times New Roman" w:hAnsi="Times New Roman" w:cs="Times New Roman"/>
                <w:sz w:val="20"/>
                <w:szCs w:val="20"/>
              </w:rPr>
              <w:t>.506</w:t>
            </w:r>
          </w:p>
        </w:tc>
      </w:tr>
      <w:tr w:rsidR="008A32EF" w:rsidRPr="008A32EF" w14:paraId="72DBB3BD" w14:textId="77777777" w:rsidTr="008A32E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7E360BF5" w14:textId="77777777" w:rsidR="008A32EF" w:rsidRPr="008A32EF" w:rsidRDefault="008A32EF" w:rsidP="008A32EF">
            <w:pPr>
              <w:spacing w:after="0" w:line="240" w:lineRule="auto"/>
              <w:rPr>
                <w:rFonts w:ascii="Times New Roman" w:hAnsi="Times New Roman" w:cs="Times New Roman"/>
                <w:sz w:val="20"/>
                <w:szCs w:val="20"/>
              </w:rPr>
            </w:pPr>
            <w:r w:rsidRPr="008A32EF">
              <w:rPr>
                <w:rFonts w:ascii="Times New Roman" w:hAnsi="Times New Roman" w:cs="Times New Roman"/>
                <w:sz w:val="20"/>
                <w:szCs w:val="20"/>
              </w:rPr>
              <w:t>Current TNF (</w:t>
            </w:r>
            <w:proofErr w:type="spellStart"/>
            <w:r w:rsidRPr="008A32EF">
              <w:rPr>
                <w:rFonts w:ascii="Times New Roman" w:hAnsi="Times New Roman" w:cs="Times New Roman"/>
                <w:sz w:val="20"/>
                <w:szCs w:val="20"/>
              </w:rPr>
              <w:t>i</w:t>
            </w:r>
            <w:proofErr w:type="spellEnd"/>
            <w:r w:rsidRPr="008A32EF">
              <w:rPr>
                <w:rFonts w:ascii="Times New Roman" w:hAnsi="Times New Roman" w:cs="Times New Roman"/>
                <w:sz w:val="20"/>
                <w:szCs w:val="20"/>
              </w:rPr>
              <w:t>) use</w:t>
            </w:r>
          </w:p>
        </w:tc>
        <w:tc>
          <w:tcPr>
            <w:tcW w:w="1385" w:type="dxa"/>
            <w:vAlign w:val="center"/>
          </w:tcPr>
          <w:p w14:paraId="7A75BC92" w14:textId="77777777"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15 (42.9)</w:t>
            </w:r>
          </w:p>
        </w:tc>
        <w:tc>
          <w:tcPr>
            <w:tcW w:w="1161" w:type="dxa"/>
            <w:vAlign w:val="center"/>
          </w:tcPr>
          <w:p w14:paraId="11D035F0" w14:textId="3D541DD2"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A32EF">
              <w:rPr>
                <w:rFonts w:ascii="Times New Roman" w:hAnsi="Times New Roman" w:cs="Times New Roman"/>
                <w:sz w:val="20"/>
                <w:szCs w:val="20"/>
              </w:rPr>
              <w:t>3</w:t>
            </w:r>
            <w:r>
              <w:rPr>
                <w:rFonts w:ascii="Times New Roman" w:hAnsi="Times New Roman" w:cs="Times New Roman"/>
                <w:sz w:val="20"/>
                <w:szCs w:val="20"/>
              </w:rPr>
              <w:t xml:space="preserve"> </w:t>
            </w:r>
            <w:r w:rsidRPr="008A32EF">
              <w:rPr>
                <w:rFonts w:ascii="Times New Roman" w:hAnsi="Times New Roman" w:cs="Times New Roman"/>
                <w:sz w:val="20"/>
                <w:szCs w:val="20"/>
              </w:rPr>
              <w:t>(30)</w:t>
            </w:r>
          </w:p>
        </w:tc>
        <w:tc>
          <w:tcPr>
            <w:tcW w:w="674" w:type="dxa"/>
            <w:vAlign w:val="center"/>
          </w:tcPr>
          <w:p w14:paraId="7BB1E644" w14:textId="754C068A" w:rsidR="008A32EF" w:rsidRPr="008A32EF" w:rsidRDefault="008A32EF" w:rsidP="008A32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8A32EF">
              <w:rPr>
                <w:rFonts w:ascii="Times New Roman" w:hAnsi="Times New Roman" w:cs="Times New Roman"/>
                <w:sz w:val="20"/>
                <w:szCs w:val="20"/>
              </w:rPr>
              <w:t>.716</w:t>
            </w:r>
          </w:p>
        </w:tc>
      </w:tr>
    </w:tbl>
    <w:p w14:paraId="446C1043"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Fasting blood glucose levels did not significantly differ between the high CRI-II group (85.58) and the low CRI-II group (84.14), with a p value of 0.551.</w:t>
      </w:r>
    </w:p>
    <w:p w14:paraId="00B8C139"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Uric acid levels were significantly higher in the high CRI-II group (6.067) than in the low CRI-II group (4.724), with a p value of 0.043, suggesting a potential association between elevated uric acid levels and high CRI-II.</w:t>
      </w:r>
    </w:p>
    <w:p w14:paraId="4AD95AE2"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ESR levels were not significantly different between the two groups, with the high CRI-II group having an average of 18.42 and the low CRI-II group having an average of 29.67 (p value: 0.268).</w:t>
      </w:r>
    </w:p>
    <w:p w14:paraId="0F806C45"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CRP levels also showed no significant difference, as the high CRI-II group had an average of 14.61, while the low CRI-II group had an average of 14.11 (p value: 0.830).</w:t>
      </w:r>
    </w:p>
    <w:p w14:paraId="4CC63BAD" w14:textId="77777777" w:rsidR="008A32EF" w:rsidRPr="008A32EF" w:rsidRDefault="008A32EF" w:rsidP="008A32EF">
      <w:pPr>
        <w:spacing w:before="240" w:line="240" w:lineRule="auto"/>
        <w:jc w:val="both"/>
        <w:rPr>
          <w:rFonts w:ascii="Times New Roman" w:hAnsi="Times New Roman"/>
          <w:sz w:val="20"/>
          <w:szCs w:val="20"/>
        </w:rPr>
      </w:pPr>
      <w:r w:rsidRPr="008A32EF">
        <w:rPr>
          <w:rFonts w:ascii="Times New Roman" w:hAnsi="Times New Roman"/>
          <w:sz w:val="20"/>
          <w:szCs w:val="20"/>
        </w:rPr>
        <w:t>BMI and waist-hip ratio did not exhibit significant differences between the two groups, with p-values of 0.810 and 0.518, respectively (Table 7).</w:t>
      </w:r>
    </w:p>
    <w:p w14:paraId="78D80EF7" w14:textId="7CA567F7" w:rsidR="008A32EF" w:rsidRDefault="008A32EF" w:rsidP="008A32EF">
      <w:pPr>
        <w:pStyle w:val="Noindentpara"/>
        <w:jc w:val="center"/>
        <w:rPr>
          <w:b/>
          <w:color w:val="003296"/>
          <w:lang w:val="en-US"/>
        </w:rPr>
      </w:pPr>
      <w:r w:rsidRPr="008A32EF">
        <w:rPr>
          <w:b/>
          <w:color w:val="003296"/>
          <w:lang w:val="en-US"/>
        </w:rPr>
        <w:t>Table 7: CRI-II index comparison</w:t>
      </w:r>
      <w:r>
        <w:rPr>
          <w:b/>
          <w:color w:val="003296"/>
          <w:lang w:val="en-US"/>
        </w:rPr>
        <w:t>.</w:t>
      </w:r>
    </w:p>
    <w:tbl>
      <w:tblPr>
        <w:tblStyle w:val="MediumShading1-Accent11"/>
        <w:tblW w:w="4546" w:type="dxa"/>
        <w:jc w:val="center"/>
        <w:tblLook w:val="04A0" w:firstRow="1" w:lastRow="0" w:firstColumn="1" w:lastColumn="0" w:noHBand="0" w:noVBand="1"/>
      </w:tblPr>
      <w:tblGrid>
        <w:gridCol w:w="1701"/>
        <w:gridCol w:w="851"/>
        <w:gridCol w:w="883"/>
        <w:gridCol w:w="1111"/>
      </w:tblGrid>
      <w:tr w:rsidR="008A32EF" w:rsidRPr="00AE5C8C" w14:paraId="51A5B80A" w14:textId="77777777" w:rsidTr="00AE5C8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3728381" w14:textId="77777777" w:rsidR="008A32EF" w:rsidRPr="00AE5C8C" w:rsidRDefault="008A32EF" w:rsidP="00AE5C8C">
            <w:pPr>
              <w:spacing w:after="0" w:line="240" w:lineRule="auto"/>
              <w:rPr>
                <w:rFonts w:ascii="Times New Roman" w:hAnsi="Times New Roman" w:cs="Times New Roman"/>
                <w:bCs w:val="0"/>
                <w:sz w:val="20"/>
                <w:szCs w:val="20"/>
              </w:rPr>
            </w:pPr>
            <w:bookmarkStart w:id="4" w:name="_Hlk139495789"/>
            <w:r w:rsidRPr="00AE5C8C">
              <w:rPr>
                <w:rFonts w:ascii="Times New Roman" w:hAnsi="Times New Roman" w:cs="Times New Roman"/>
                <w:bCs w:val="0"/>
                <w:sz w:val="20"/>
                <w:szCs w:val="20"/>
              </w:rPr>
              <w:t>Factors</w:t>
            </w:r>
          </w:p>
        </w:tc>
        <w:tc>
          <w:tcPr>
            <w:tcW w:w="851" w:type="dxa"/>
            <w:vAlign w:val="center"/>
          </w:tcPr>
          <w:p w14:paraId="4B2BAE06" w14:textId="77777777" w:rsidR="008A32EF" w:rsidRPr="00AE5C8C" w:rsidRDefault="008A32EF"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Mean in high CRI-II (N=12)</w:t>
            </w:r>
          </w:p>
        </w:tc>
        <w:tc>
          <w:tcPr>
            <w:tcW w:w="883" w:type="dxa"/>
            <w:vAlign w:val="center"/>
          </w:tcPr>
          <w:p w14:paraId="65C004ED" w14:textId="77777777" w:rsidR="008A32EF" w:rsidRPr="00AE5C8C" w:rsidRDefault="008A32EF"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Mean in low CRI-II (N=33)</w:t>
            </w:r>
          </w:p>
        </w:tc>
        <w:tc>
          <w:tcPr>
            <w:tcW w:w="1111" w:type="dxa"/>
            <w:vAlign w:val="center"/>
          </w:tcPr>
          <w:p w14:paraId="1289F5C1" w14:textId="77777777" w:rsidR="008A32EF" w:rsidRPr="00AE5C8C" w:rsidRDefault="008A32EF"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P value (Mann Whitney U)</w:t>
            </w:r>
          </w:p>
        </w:tc>
      </w:tr>
      <w:tr w:rsidR="008A32EF" w:rsidRPr="00AE5C8C" w14:paraId="184A5284"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D924A0C"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Fasting blood glucose</w:t>
            </w:r>
          </w:p>
        </w:tc>
        <w:tc>
          <w:tcPr>
            <w:tcW w:w="851" w:type="dxa"/>
            <w:vAlign w:val="center"/>
          </w:tcPr>
          <w:p w14:paraId="502F9636"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85.58</w:t>
            </w:r>
          </w:p>
        </w:tc>
        <w:tc>
          <w:tcPr>
            <w:tcW w:w="883" w:type="dxa"/>
            <w:vAlign w:val="center"/>
          </w:tcPr>
          <w:p w14:paraId="4CA26604"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84.14</w:t>
            </w:r>
          </w:p>
        </w:tc>
        <w:tc>
          <w:tcPr>
            <w:tcW w:w="1111" w:type="dxa"/>
            <w:vAlign w:val="center"/>
          </w:tcPr>
          <w:p w14:paraId="0D307D79" w14:textId="07F7396E" w:rsidR="008A32EF"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Cs/>
                <w:sz w:val="20"/>
                <w:szCs w:val="20"/>
              </w:rPr>
              <w:t>0</w:t>
            </w:r>
            <w:r w:rsidR="008A32EF" w:rsidRPr="00AE5C8C">
              <w:rPr>
                <w:rFonts w:ascii="Times New Roman" w:hAnsi="Times New Roman" w:cs="Times New Roman"/>
                <w:bCs/>
                <w:sz w:val="20"/>
                <w:szCs w:val="20"/>
              </w:rPr>
              <w:t>.</w:t>
            </w:r>
            <w:r w:rsidR="008A32EF" w:rsidRPr="00AE5C8C">
              <w:rPr>
                <w:rFonts w:ascii="Times New Roman" w:hAnsi="Times New Roman" w:cs="Times New Roman"/>
                <w:sz w:val="20"/>
                <w:szCs w:val="20"/>
              </w:rPr>
              <w:t>551</w:t>
            </w:r>
          </w:p>
        </w:tc>
      </w:tr>
      <w:tr w:rsidR="008A32EF" w:rsidRPr="00AE5C8C" w14:paraId="37B7BA95"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764C5755"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Uric acid</w:t>
            </w:r>
          </w:p>
        </w:tc>
        <w:tc>
          <w:tcPr>
            <w:tcW w:w="851" w:type="dxa"/>
            <w:vAlign w:val="center"/>
          </w:tcPr>
          <w:p w14:paraId="69BF5FB9" w14:textId="77777777" w:rsidR="008A32EF" w:rsidRPr="00AE5C8C" w:rsidRDefault="008A32EF"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6.067</w:t>
            </w:r>
          </w:p>
        </w:tc>
        <w:tc>
          <w:tcPr>
            <w:tcW w:w="883" w:type="dxa"/>
            <w:vAlign w:val="center"/>
          </w:tcPr>
          <w:p w14:paraId="6DC8222F" w14:textId="77777777" w:rsidR="008A32EF" w:rsidRPr="00AE5C8C" w:rsidRDefault="008A32EF"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4.724</w:t>
            </w:r>
          </w:p>
        </w:tc>
        <w:tc>
          <w:tcPr>
            <w:tcW w:w="1111" w:type="dxa"/>
            <w:vAlign w:val="center"/>
          </w:tcPr>
          <w:p w14:paraId="31D44715" w14:textId="234B3CB5" w:rsidR="008A32EF"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bCs/>
                <w:sz w:val="20"/>
                <w:szCs w:val="20"/>
              </w:rPr>
              <w:t>0</w:t>
            </w:r>
            <w:r w:rsidR="008A32EF" w:rsidRPr="00AE5C8C">
              <w:rPr>
                <w:rFonts w:ascii="Times New Roman" w:hAnsi="Times New Roman" w:cs="Times New Roman"/>
                <w:bCs/>
                <w:sz w:val="20"/>
                <w:szCs w:val="20"/>
              </w:rPr>
              <w:t>.043</w:t>
            </w:r>
          </w:p>
        </w:tc>
      </w:tr>
      <w:tr w:rsidR="008A32EF" w:rsidRPr="00AE5C8C" w14:paraId="0C131DF0"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1E7DCAAF"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ESR</w:t>
            </w:r>
          </w:p>
        </w:tc>
        <w:tc>
          <w:tcPr>
            <w:tcW w:w="851" w:type="dxa"/>
            <w:vAlign w:val="center"/>
          </w:tcPr>
          <w:p w14:paraId="5AD56C45"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18.42</w:t>
            </w:r>
          </w:p>
        </w:tc>
        <w:tc>
          <w:tcPr>
            <w:tcW w:w="883" w:type="dxa"/>
            <w:vAlign w:val="center"/>
          </w:tcPr>
          <w:p w14:paraId="48A784F5"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29.67</w:t>
            </w:r>
          </w:p>
        </w:tc>
        <w:tc>
          <w:tcPr>
            <w:tcW w:w="1111" w:type="dxa"/>
            <w:vAlign w:val="center"/>
          </w:tcPr>
          <w:p w14:paraId="5DA48870" w14:textId="0C19EA18" w:rsidR="008A32EF"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.268</w:t>
            </w:r>
          </w:p>
        </w:tc>
      </w:tr>
      <w:tr w:rsidR="008A32EF" w:rsidRPr="00AE5C8C" w14:paraId="34F268A0"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4702D38"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CRP</w:t>
            </w:r>
          </w:p>
        </w:tc>
        <w:tc>
          <w:tcPr>
            <w:tcW w:w="851" w:type="dxa"/>
            <w:vAlign w:val="center"/>
          </w:tcPr>
          <w:p w14:paraId="6E839D8D" w14:textId="77777777" w:rsidR="008A32EF" w:rsidRPr="00AE5C8C" w:rsidRDefault="008A32EF"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14.61</w:t>
            </w:r>
          </w:p>
        </w:tc>
        <w:tc>
          <w:tcPr>
            <w:tcW w:w="883" w:type="dxa"/>
            <w:vAlign w:val="center"/>
          </w:tcPr>
          <w:p w14:paraId="4A400CC1" w14:textId="77777777" w:rsidR="008A32EF" w:rsidRPr="00AE5C8C" w:rsidRDefault="008A32EF"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14.11</w:t>
            </w:r>
          </w:p>
        </w:tc>
        <w:tc>
          <w:tcPr>
            <w:tcW w:w="1111" w:type="dxa"/>
            <w:vAlign w:val="center"/>
          </w:tcPr>
          <w:p w14:paraId="16361C8F" w14:textId="1F8DB94E" w:rsidR="008A32EF"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.830</w:t>
            </w:r>
          </w:p>
        </w:tc>
      </w:tr>
      <w:tr w:rsidR="008A32EF" w:rsidRPr="00AE5C8C" w14:paraId="48A08DF4"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2A49153"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BMI</w:t>
            </w:r>
          </w:p>
        </w:tc>
        <w:tc>
          <w:tcPr>
            <w:tcW w:w="851" w:type="dxa"/>
            <w:vAlign w:val="center"/>
          </w:tcPr>
          <w:p w14:paraId="0E67F6C5"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25.54</w:t>
            </w:r>
          </w:p>
        </w:tc>
        <w:tc>
          <w:tcPr>
            <w:tcW w:w="883" w:type="dxa"/>
            <w:vAlign w:val="center"/>
          </w:tcPr>
          <w:p w14:paraId="4572A055" w14:textId="77777777" w:rsidR="008A32EF" w:rsidRPr="00AE5C8C" w:rsidRDefault="008A32EF"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25.02</w:t>
            </w:r>
          </w:p>
        </w:tc>
        <w:tc>
          <w:tcPr>
            <w:tcW w:w="1111" w:type="dxa"/>
            <w:vAlign w:val="center"/>
          </w:tcPr>
          <w:p w14:paraId="597DC2A1" w14:textId="620424AA" w:rsidR="008A32EF"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.810</w:t>
            </w:r>
          </w:p>
        </w:tc>
      </w:tr>
      <w:tr w:rsidR="008A32EF" w:rsidRPr="00AE5C8C" w14:paraId="0D0AB8C7"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2729FF5" w14:textId="77777777" w:rsidR="008A32EF" w:rsidRPr="00AE5C8C" w:rsidRDefault="008A32EF"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Waist hip ratio</w:t>
            </w:r>
          </w:p>
        </w:tc>
        <w:tc>
          <w:tcPr>
            <w:tcW w:w="851" w:type="dxa"/>
            <w:vAlign w:val="center"/>
          </w:tcPr>
          <w:p w14:paraId="126F5D70" w14:textId="35AD07A2" w:rsidR="008A32EF"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.903</w:t>
            </w:r>
          </w:p>
        </w:tc>
        <w:tc>
          <w:tcPr>
            <w:tcW w:w="883" w:type="dxa"/>
            <w:vAlign w:val="center"/>
          </w:tcPr>
          <w:p w14:paraId="55604696" w14:textId="60120CE7" w:rsidR="008A32EF"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.874</w:t>
            </w:r>
          </w:p>
        </w:tc>
        <w:tc>
          <w:tcPr>
            <w:tcW w:w="1111" w:type="dxa"/>
            <w:vAlign w:val="center"/>
          </w:tcPr>
          <w:p w14:paraId="6980CB78" w14:textId="696C764B" w:rsidR="008A32EF"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8A32EF" w:rsidRPr="00AE5C8C">
              <w:rPr>
                <w:rFonts w:ascii="Times New Roman" w:hAnsi="Times New Roman" w:cs="Times New Roman"/>
                <w:sz w:val="20"/>
                <w:szCs w:val="20"/>
              </w:rPr>
              <w:t>.518</w:t>
            </w:r>
          </w:p>
        </w:tc>
      </w:tr>
    </w:tbl>
    <w:bookmarkEnd w:id="4"/>
    <w:p w14:paraId="4B3DB5BA"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The proportion of patients with metabolic syndrome was 16.7% in the high CRI-II group and 9.1% in the low CRI-II group, which was not statistically significant (p value: 0.598).</w:t>
      </w:r>
    </w:p>
    <w:p w14:paraId="19718D72"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 xml:space="preserve">High disease activity was observed in 91.7% of patients in the high CRI-II group and 81.8% in the low CRI-II group, </w:t>
      </w:r>
      <w:r w:rsidRPr="00AE5C8C">
        <w:rPr>
          <w:rFonts w:ascii="Times New Roman" w:hAnsi="Times New Roman"/>
          <w:sz w:val="20"/>
          <w:szCs w:val="20"/>
        </w:rPr>
        <w:lastRenderedPageBreak/>
        <w:t>with no significant difference between the two groups (p value: 0.655).</w:t>
      </w:r>
    </w:p>
    <w:p w14:paraId="344BFEF8"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Current use of TNF inhibitors was reported by 66.7% of patients in the high CRI-II group and 30.3% in the low CRI-II group, and this difference was statistically significant (p value: 0.041), suggesting a potential association between TNF inhibitor use and high CRI-II (Table 8).</w:t>
      </w:r>
    </w:p>
    <w:p w14:paraId="709270A7" w14:textId="2FDE960B" w:rsidR="008A32EF" w:rsidRDefault="00AE5C8C" w:rsidP="008A32EF">
      <w:pPr>
        <w:pStyle w:val="Noindentpara"/>
        <w:jc w:val="center"/>
        <w:rPr>
          <w:b/>
          <w:color w:val="003296"/>
          <w:lang w:val="en-US"/>
        </w:rPr>
      </w:pPr>
      <w:r w:rsidRPr="00AE5C8C">
        <w:rPr>
          <w:b/>
          <w:color w:val="003296"/>
          <w:lang w:val="en-US"/>
        </w:rPr>
        <w:t>Table 8: Comparison of CR-II index with metabolic factors</w:t>
      </w:r>
      <w:r>
        <w:rPr>
          <w:b/>
          <w:color w:val="003296"/>
          <w:lang w:val="en-US"/>
        </w:rPr>
        <w:t>.</w:t>
      </w:r>
    </w:p>
    <w:tbl>
      <w:tblPr>
        <w:tblStyle w:val="MediumShading1-Accent11"/>
        <w:tblW w:w="4537" w:type="dxa"/>
        <w:jc w:val="center"/>
        <w:tblLook w:val="04A0" w:firstRow="1" w:lastRow="0" w:firstColumn="1" w:lastColumn="0" w:noHBand="0" w:noVBand="1"/>
      </w:tblPr>
      <w:tblGrid>
        <w:gridCol w:w="1418"/>
        <w:gridCol w:w="1250"/>
        <w:gridCol w:w="1161"/>
        <w:gridCol w:w="708"/>
      </w:tblGrid>
      <w:tr w:rsidR="00AE5C8C" w:rsidRPr="00AE5C8C" w14:paraId="76775778" w14:textId="77777777" w:rsidTr="00AE5C8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EE6CA72" w14:textId="36F31631"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Factors</w:t>
            </w:r>
          </w:p>
        </w:tc>
        <w:tc>
          <w:tcPr>
            <w:tcW w:w="1250" w:type="dxa"/>
            <w:vAlign w:val="center"/>
          </w:tcPr>
          <w:p w14:paraId="56F15C31" w14:textId="3D4E90FB"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DC6215">
              <w:rPr>
                <w:rFonts w:ascii="Times New Roman" w:hAnsi="Times New Roman" w:cs="Times New Roman"/>
                <w:sz w:val="20"/>
                <w:szCs w:val="20"/>
              </w:rPr>
              <w:t xml:space="preserve">Proportion within </w:t>
            </w:r>
            <w:r>
              <w:rPr>
                <w:rFonts w:ascii="Times New Roman" w:hAnsi="Times New Roman" w:cs="Times New Roman"/>
                <w:sz w:val="20"/>
                <w:szCs w:val="20"/>
              </w:rPr>
              <w:t>h</w:t>
            </w:r>
            <w:r w:rsidRPr="00DC6215">
              <w:rPr>
                <w:rFonts w:ascii="Times New Roman" w:hAnsi="Times New Roman" w:cs="Times New Roman"/>
                <w:sz w:val="20"/>
                <w:szCs w:val="20"/>
              </w:rPr>
              <w:t>igh CRI-II</w:t>
            </w:r>
            <w:r>
              <w:rPr>
                <w:rFonts w:ascii="Times New Roman" w:hAnsi="Times New Roman" w:cs="Times New Roman"/>
                <w:sz w:val="20"/>
                <w:szCs w:val="20"/>
              </w:rPr>
              <w:t xml:space="preserve"> (</w:t>
            </w:r>
            <w:r w:rsidRPr="00DC6215">
              <w:rPr>
                <w:rFonts w:ascii="Times New Roman" w:hAnsi="Times New Roman" w:cs="Times New Roman"/>
                <w:sz w:val="20"/>
                <w:szCs w:val="20"/>
              </w:rPr>
              <w:t>n=12) (%)</w:t>
            </w:r>
          </w:p>
        </w:tc>
        <w:tc>
          <w:tcPr>
            <w:tcW w:w="1161" w:type="dxa"/>
            <w:vAlign w:val="center"/>
          </w:tcPr>
          <w:p w14:paraId="046AA968" w14:textId="70C3F65B"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DC6215">
              <w:rPr>
                <w:rFonts w:ascii="Times New Roman" w:hAnsi="Times New Roman" w:cs="Times New Roman"/>
                <w:sz w:val="20"/>
                <w:szCs w:val="20"/>
              </w:rPr>
              <w:t>Proportion within low CRI-II (n=33) (%)</w:t>
            </w:r>
          </w:p>
        </w:tc>
        <w:tc>
          <w:tcPr>
            <w:tcW w:w="708" w:type="dxa"/>
            <w:vAlign w:val="center"/>
          </w:tcPr>
          <w:p w14:paraId="0AF1B9F3" w14:textId="23CD0E93"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DC6215">
              <w:rPr>
                <w:rFonts w:ascii="Times New Roman" w:hAnsi="Times New Roman" w:cs="Times New Roman"/>
                <w:sz w:val="20"/>
                <w:szCs w:val="20"/>
              </w:rPr>
              <w:t>P value</w:t>
            </w:r>
          </w:p>
        </w:tc>
      </w:tr>
      <w:tr w:rsidR="00AE5C8C" w:rsidRPr="00AE5C8C" w14:paraId="3F3E1510"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B639FA3" w14:textId="13DD09F3"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Metabolic syndrome</w:t>
            </w:r>
          </w:p>
        </w:tc>
        <w:tc>
          <w:tcPr>
            <w:tcW w:w="1250" w:type="dxa"/>
            <w:vAlign w:val="center"/>
          </w:tcPr>
          <w:p w14:paraId="17F01299" w14:textId="27C3EA43"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w:t>
            </w:r>
            <w:r>
              <w:rPr>
                <w:rFonts w:ascii="Times New Roman" w:hAnsi="Times New Roman" w:cs="Times New Roman"/>
                <w:sz w:val="20"/>
                <w:szCs w:val="20"/>
              </w:rPr>
              <w:t xml:space="preserve"> </w:t>
            </w:r>
            <w:r w:rsidRPr="00DC6215">
              <w:rPr>
                <w:rFonts w:ascii="Times New Roman" w:hAnsi="Times New Roman" w:cs="Times New Roman"/>
                <w:sz w:val="20"/>
                <w:szCs w:val="20"/>
              </w:rPr>
              <w:t>(16.7)</w:t>
            </w:r>
          </w:p>
        </w:tc>
        <w:tc>
          <w:tcPr>
            <w:tcW w:w="1161" w:type="dxa"/>
            <w:vAlign w:val="center"/>
          </w:tcPr>
          <w:p w14:paraId="70063E03" w14:textId="47CB4564"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 (9.1)</w:t>
            </w:r>
          </w:p>
        </w:tc>
        <w:tc>
          <w:tcPr>
            <w:tcW w:w="708" w:type="dxa"/>
            <w:vAlign w:val="center"/>
          </w:tcPr>
          <w:p w14:paraId="3A85EF67" w14:textId="641F6F8B"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0</w:t>
            </w:r>
            <w:r w:rsidRPr="00DC6215">
              <w:rPr>
                <w:rFonts w:ascii="Times New Roman" w:hAnsi="Times New Roman" w:cs="Times New Roman"/>
                <w:sz w:val="20"/>
                <w:szCs w:val="20"/>
              </w:rPr>
              <w:t>.598</w:t>
            </w:r>
          </w:p>
        </w:tc>
      </w:tr>
      <w:tr w:rsidR="00AE5C8C" w:rsidRPr="00AE5C8C" w14:paraId="571F7F16"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BBAEE10" w14:textId="61F30D03"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High disease activity</w:t>
            </w:r>
          </w:p>
        </w:tc>
        <w:tc>
          <w:tcPr>
            <w:tcW w:w="1250" w:type="dxa"/>
            <w:vAlign w:val="center"/>
          </w:tcPr>
          <w:p w14:paraId="5D4BC130" w14:textId="62F5C01E"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11</w:t>
            </w:r>
            <w:r>
              <w:rPr>
                <w:rFonts w:ascii="Times New Roman" w:hAnsi="Times New Roman" w:cs="Times New Roman"/>
                <w:sz w:val="20"/>
                <w:szCs w:val="20"/>
              </w:rPr>
              <w:t xml:space="preserve"> </w:t>
            </w:r>
            <w:r w:rsidRPr="00DC6215">
              <w:rPr>
                <w:rFonts w:ascii="Times New Roman" w:hAnsi="Times New Roman" w:cs="Times New Roman"/>
                <w:sz w:val="20"/>
                <w:szCs w:val="20"/>
              </w:rPr>
              <w:t>(91.7)</w:t>
            </w:r>
          </w:p>
        </w:tc>
        <w:tc>
          <w:tcPr>
            <w:tcW w:w="1161" w:type="dxa"/>
            <w:vAlign w:val="center"/>
          </w:tcPr>
          <w:p w14:paraId="3E3F456D" w14:textId="43836916"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27 (81.8)</w:t>
            </w:r>
          </w:p>
        </w:tc>
        <w:tc>
          <w:tcPr>
            <w:tcW w:w="708" w:type="dxa"/>
            <w:vAlign w:val="center"/>
          </w:tcPr>
          <w:p w14:paraId="1C572B29" w14:textId="4B1E1FF3"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sz w:val="20"/>
                <w:szCs w:val="20"/>
              </w:rPr>
              <w:t>0</w:t>
            </w:r>
            <w:r w:rsidRPr="00DC6215">
              <w:rPr>
                <w:rFonts w:ascii="Times New Roman" w:hAnsi="Times New Roman" w:cs="Times New Roman"/>
                <w:sz w:val="20"/>
                <w:szCs w:val="20"/>
              </w:rPr>
              <w:t>.655</w:t>
            </w:r>
          </w:p>
        </w:tc>
      </w:tr>
      <w:tr w:rsidR="00AE5C8C" w:rsidRPr="00AE5C8C" w14:paraId="03DE2752"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E5B5BDC" w14:textId="3BEA4173"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Current TNF (</w:t>
            </w:r>
            <w:proofErr w:type="spellStart"/>
            <w:r w:rsidRPr="00DC6215">
              <w:rPr>
                <w:rFonts w:ascii="Times New Roman" w:hAnsi="Times New Roman" w:cs="Times New Roman"/>
                <w:sz w:val="20"/>
                <w:szCs w:val="20"/>
              </w:rPr>
              <w:t>i</w:t>
            </w:r>
            <w:proofErr w:type="spellEnd"/>
            <w:r w:rsidRPr="00DC6215">
              <w:rPr>
                <w:rFonts w:ascii="Times New Roman" w:hAnsi="Times New Roman" w:cs="Times New Roman"/>
                <w:sz w:val="20"/>
                <w:szCs w:val="20"/>
              </w:rPr>
              <w:t>) use</w:t>
            </w:r>
          </w:p>
        </w:tc>
        <w:tc>
          <w:tcPr>
            <w:tcW w:w="1250" w:type="dxa"/>
            <w:vAlign w:val="center"/>
          </w:tcPr>
          <w:p w14:paraId="41E00434" w14:textId="64A1F108"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8 (66.7)</w:t>
            </w:r>
          </w:p>
        </w:tc>
        <w:tc>
          <w:tcPr>
            <w:tcW w:w="1161" w:type="dxa"/>
            <w:vAlign w:val="center"/>
          </w:tcPr>
          <w:p w14:paraId="4A0E0D57" w14:textId="069005AF"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10</w:t>
            </w:r>
            <w:r>
              <w:rPr>
                <w:rFonts w:ascii="Times New Roman" w:hAnsi="Times New Roman" w:cs="Times New Roman"/>
                <w:sz w:val="20"/>
                <w:szCs w:val="20"/>
              </w:rPr>
              <w:t xml:space="preserve"> </w:t>
            </w:r>
            <w:r w:rsidRPr="00DC6215">
              <w:rPr>
                <w:rFonts w:ascii="Times New Roman" w:hAnsi="Times New Roman" w:cs="Times New Roman"/>
                <w:sz w:val="20"/>
                <w:szCs w:val="20"/>
              </w:rPr>
              <w:t>(30.3)</w:t>
            </w:r>
          </w:p>
        </w:tc>
        <w:tc>
          <w:tcPr>
            <w:tcW w:w="708" w:type="dxa"/>
            <w:vAlign w:val="center"/>
          </w:tcPr>
          <w:p w14:paraId="1822A344" w14:textId="608BDD39"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E5C8C">
              <w:rPr>
                <w:rFonts w:ascii="Times New Roman" w:hAnsi="Times New Roman" w:cs="Times New Roman"/>
                <w:sz w:val="20"/>
                <w:szCs w:val="20"/>
              </w:rPr>
              <w:t>0.</w:t>
            </w:r>
            <w:r w:rsidRPr="00AE5C8C">
              <w:rPr>
                <w:rFonts w:ascii="Times New Roman" w:hAnsi="Times New Roman" w:cs="Times New Roman"/>
                <w:bCs/>
                <w:sz w:val="20"/>
                <w:szCs w:val="20"/>
              </w:rPr>
              <w:t>041</w:t>
            </w:r>
          </w:p>
        </w:tc>
      </w:tr>
    </w:tbl>
    <w:p w14:paraId="33716603"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Fasting blood glucose levels did not significantly differ between the high AC group (84.73) and the low AC group (84.36), with a p value of 0.732.</w:t>
      </w:r>
    </w:p>
    <w:p w14:paraId="20635742"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Uric acid levels also did not exhibit a significant difference between the two groups, with the high AC group having a mean uric acid level of 5.545 and the low AC group having a mean of 4.712 (p value: 0.213).</w:t>
      </w:r>
    </w:p>
    <w:p w14:paraId="1E175479"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ESR levels were not significantly different between the high AC group (22.65) and the low AC group (29.88), with a p value of 0.680.</w:t>
      </w:r>
    </w:p>
    <w:p w14:paraId="0010631A"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CRP levels showed no significant difference, as the high AC group had an average CRP level of 12.215, while the low AC group had an average of 15.860 (p value: 0.451).</w:t>
      </w:r>
    </w:p>
    <w:p w14:paraId="0FB69851" w14:textId="4C2219F7" w:rsid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BMI and waist-hip ratio did not exhibit significant differences between the two groups, with p values of 0.810 and 0.890, respectively (Table 9).</w:t>
      </w:r>
    </w:p>
    <w:p w14:paraId="7E8177D8"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The proportion of patients with metabolic syndrome was 20% in the high AC group and 4% in the low AC group, but this difference did not reach statistical significance (p value: 0.155).</w:t>
      </w:r>
    </w:p>
    <w:p w14:paraId="47DF8271" w14:textId="77777777"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High disease activity was observed in 85% of patients in the high AC group and 84% in the low AC group, with no significant difference between the two groups (p value: 1.00).</w:t>
      </w:r>
    </w:p>
    <w:p w14:paraId="534B054D" w14:textId="1B56484B" w:rsidR="00AE5C8C" w:rsidRPr="00AE5C8C" w:rsidRDefault="00AE5C8C" w:rsidP="00AE5C8C">
      <w:pPr>
        <w:spacing w:before="240" w:line="240" w:lineRule="auto"/>
        <w:jc w:val="both"/>
        <w:rPr>
          <w:rFonts w:ascii="Times New Roman" w:hAnsi="Times New Roman"/>
          <w:sz w:val="20"/>
          <w:szCs w:val="20"/>
        </w:rPr>
      </w:pPr>
      <w:r w:rsidRPr="00AE5C8C">
        <w:rPr>
          <w:rFonts w:ascii="Times New Roman" w:hAnsi="Times New Roman"/>
          <w:sz w:val="20"/>
          <w:szCs w:val="20"/>
        </w:rPr>
        <w:t>Current use of TNF inhibitors was reported by 50% of patients in the high AC group and 32% in the low AC group, and this difference was not statistically significant (p value: 0.179) (Table 10).</w:t>
      </w:r>
    </w:p>
    <w:p w14:paraId="092EE018" w14:textId="6DFC3260" w:rsidR="00AE5C8C" w:rsidRDefault="00AE5C8C" w:rsidP="00AE5C8C">
      <w:pPr>
        <w:pStyle w:val="Noindentpara"/>
        <w:jc w:val="center"/>
        <w:rPr>
          <w:b/>
          <w:color w:val="003296"/>
          <w:lang w:val="en-US"/>
        </w:rPr>
      </w:pPr>
      <w:r w:rsidRPr="00AE5C8C">
        <w:rPr>
          <w:b/>
          <w:color w:val="003296"/>
          <w:lang w:val="en-US"/>
        </w:rPr>
        <w:lastRenderedPageBreak/>
        <w:t>Table 9: Atherogenic coefficient comparison with factors</w:t>
      </w:r>
      <w:r>
        <w:rPr>
          <w:b/>
          <w:color w:val="003296"/>
          <w:lang w:val="en-US"/>
        </w:rPr>
        <w:t>.</w:t>
      </w:r>
    </w:p>
    <w:tbl>
      <w:tblPr>
        <w:tblStyle w:val="MediumShading1-Accent11"/>
        <w:tblW w:w="4537" w:type="dxa"/>
        <w:jc w:val="center"/>
        <w:tblLook w:val="04A0" w:firstRow="1" w:lastRow="0" w:firstColumn="1" w:lastColumn="0" w:noHBand="0" w:noVBand="1"/>
      </w:tblPr>
      <w:tblGrid>
        <w:gridCol w:w="1570"/>
        <w:gridCol w:w="1002"/>
        <w:gridCol w:w="982"/>
        <w:gridCol w:w="983"/>
      </w:tblGrid>
      <w:tr w:rsidR="00AE5C8C" w:rsidRPr="00AE5C8C" w14:paraId="38FCADC7" w14:textId="77777777" w:rsidTr="00AE5C8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06582C98" w14:textId="4E84E2E5"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Factors</w:t>
            </w:r>
          </w:p>
        </w:tc>
        <w:tc>
          <w:tcPr>
            <w:tcW w:w="1002" w:type="dxa"/>
            <w:vAlign w:val="center"/>
          </w:tcPr>
          <w:p w14:paraId="7FB3654F" w14:textId="40C8212C"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Mean in high AC</w:t>
            </w:r>
            <w:r>
              <w:rPr>
                <w:rFonts w:ascii="Times New Roman" w:hAnsi="Times New Roman" w:cs="Times New Roman"/>
                <w:bCs w:val="0"/>
                <w:sz w:val="20"/>
                <w:szCs w:val="20"/>
              </w:rPr>
              <w:t xml:space="preserve"> </w:t>
            </w:r>
            <w:r w:rsidRPr="00AE5C8C">
              <w:rPr>
                <w:rFonts w:ascii="Times New Roman" w:hAnsi="Times New Roman" w:cs="Times New Roman"/>
                <w:bCs w:val="0"/>
                <w:sz w:val="20"/>
                <w:szCs w:val="20"/>
              </w:rPr>
              <w:t>(n=20)</w:t>
            </w:r>
          </w:p>
        </w:tc>
        <w:tc>
          <w:tcPr>
            <w:tcW w:w="982" w:type="dxa"/>
            <w:vAlign w:val="center"/>
          </w:tcPr>
          <w:p w14:paraId="20427A57" w14:textId="52490558"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Pr>
                <w:rFonts w:ascii="Times New Roman" w:hAnsi="Times New Roman" w:cs="Times New Roman"/>
                <w:bCs w:val="0"/>
                <w:sz w:val="20"/>
                <w:szCs w:val="20"/>
              </w:rPr>
              <w:t xml:space="preserve">Mean in low AC </w:t>
            </w:r>
            <w:r w:rsidRPr="00AE5C8C">
              <w:rPr>
                <w:rFonts w:ascii="Times New Roman" w:hAnsi="Times New Roman" w:cs="Times New Roman"/>
                <w:bCs w:val="0"/>
                <w:sz w:val="20"/>
                <w:szCs w:val="20"/>
              </w:rPr>
              <w:t>(n=25)</w:t>
            </w:r>
          </w:p>
        </w:tc>
        <w:tc>
          <w:tcPr>
            <w:tcW w:w="983" w:type="dxa"/>
            <w:vAlign w:val="center"/>
          </w:tcPr>
          <w:p w14:paraId="315C3226" w14:textId="18CC03EC"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P value (Mann Whitney U)</w:t>
            </w:r>
          </w:p>
        </w:tc>
      </w:tr>
      <w:tr w:rsidR="00AE5C8C" w:rsidRPr="00AE5C8C" w14:paraId="5DE9D9BB"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50A37A31" w14:textId="0527012C"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Fasting blood glucose</w:t>
            </w:r>
          </w:p>
        </w:tc>
        <w:tc>
          <w:tcPr>
            <w:tcW w:w="1002" w:type="dxa"/>
            <w:vAlign w:val="center"/>
          </w:tcPr>
          <w:p w14:paraId="2A938DE8" w14:textId="665D147E"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84.73</w:t>
            </w:r>
          </w:p>
        </w:tc>
        <w:tc>
          <w:tcPr>
            <w:tcW w:w="982" w:type="dxa"/>
            <w:vAlign w:val="center"/>
          </w:tcPr>
          <w:p w14:paraId="79B7CA87" w14:textId="30374556"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84.36</w:t>
            </w:r>
          </w:p>
        </w:tc>
        <w:tc>
          <w:tcPr>
            <w:tcW w:w="983" w:type="dxa"/>
            <w:vAlign w:val="center"/>
          </w:tcPr>
          <w:p w14:paraId="1AE1A7AA" w14:textId="1E492753"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0</w:t>
            </w:r>
            <w:r w:rsidRPr="00DC6215">
              <w:rPr>
                <w:rFonts w:ascii="Times New Roman" w:hAnsi="Times New Roman" w:cs="Times New Roman"/>
                <w:sz w:val="20"/>
                <w:szCs w:val="20"/>
              </w:rPr>
              <w:t>.732</w:t>
            </w:r>
          </w:p>
        </w:tc>
      </w:tr>
      <w:tr w:rsidR="00AE5C8C" w:rsidRPr="00AE5C8C" w14:paraId="54B0D892"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6F52C4E1" w14:textId="19AC1C2B"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Uric acid</w:t>
            </w:r>
          </w:p>
        </w:tc>
        <w:tc>
          <w:tcPr>
            <w:tcW w:w="1002" w:type="dxa"/>
            <w:vAlign w:val="center"/>
          </w:tcPr>
          <w:p w14:paraId="5557E5CC" w14:textId="68F173FB"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5.545</w:t>
            </w:r>
          </w:p>
        </w:tc>
        <w:tc>
          <w:tcPr>
            <w:tcW w:w="982" w:type="dxa"/>
            <w:vAlign w:val="center"/>
          </w:tcPr>
          <w:p w14:paraId="281798E7" w14:textId="70366A73"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4.712</w:t>
            </w:r>
          </w:p>
        </w:tc>
        <w:tc>
          <w:tcPr>
            <w:tcW w:w="983" w:type="dxa"/>
            <w:vAlign w:val="center"/>
          </w:tcPr>
          <w:p w14:paraId="2C51AEEF" w14:textId="7D8173AD"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Pr>
                <w:rFonts w:ascii="Times New Roman" w:hAnsi="Times New Roman" w:cs="Times New Roman"/>
                <w:sz w:val="20"/>
                <w:szCs w:val="20"/>
              </w:rPr>
              <w:t>0</w:t>
            </w:r>
            <w:r w:rsidRPr="00DC6215">
              <w:rPr>
                <w:rFonts w:ascii="Times New Roman" w:hAnsi="Times New Roman" w:cs="Times New Roman"/>
                <w:sz w:val="20"/>
                <w:szCs w:val="20"/>
              </w:rPr>
              <w:t>.213</w:t>
            </w:r>
          </w:p>
        </w:tc>
      </w:tr>
      <w:tr w:rsidR="00AE5C8C" w:rsidRPr="00AE5C8C" w14:paraId="7C809090"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1F713966" w14:textId="0CC9464A"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ESR</w:t>
            </w:r>
          </w:p>
        </w:tc>
        <w:tc>
          <w:tcPr>
            <w:tcW w:w="1002" w:type="dxa"/>
            <w:vAlign w:val="center"/>
          </w:tcPr>
          <w:p w14:paraId="55B3C828" w14:textId="59CC97EF"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22.65</w:t>
            </w:r>
          </w:p>
        </w:tc>
        <w:tc>
          <w:tcPr>
            <w:tcW w:w="982" w:type="dxa"/>
            <w:vAlign w:val="center"/>
          </w:tcPr>
          <w:p w14:paraId="6D129905" w14:textId="6DA5FFFA"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29.88</w:t>
            </w:r>
          </w:p>
        </w:tc>
        <w:tc>
          <w:tcPr>
            <w:tcW w:w="983" w:type="dxa"/>
            <w:vAlign w:val="center"/>
          </w:tcPr>
          <w:p w14:paraId="7D8543A2" w14:textId="4BB9DDD9"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.680</w:t>
            </w:r>
          </w:p>
        </w:tc>
      </w:tr>
      <w:tr w:rsidR="00AE5C8C" w:rsidRPr="00AE5C8C" w14:paraId="20511645"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6B36E81C" w14:textId="091D74B3"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CRP</w:t>
            </w:r>
          </w:p>
        </w:tc>
        <w:tc>
          <w:tcPr>
            <w:tcW w:w="1002" w:type="dxa"/>
            <w:vAlign w:val="center"/>
          </w:tcPr>
          <w:p w14:paraId="3473677E" w14:textId="48C50CCD"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12.215</w:t>
            </w:r>
          </w:p>
        </w:tc>
        <w:tc>
          <w:tcPr>
            <w:tcW w:w="982" w:type="dxa"/>
            <w:vAlign w:val="center"/>
          </w:tcPr>
          <w:p w14:paraId="4A562736" w14:textId="053C016F"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15.860</w:t>
            </w:r>
          </w:p>
        </w:tc>
        <w:tc>
          <w:tcPr>
            <w:tcW w:w="983" w:type="dxa"/>
            <w:vAlign w:val="center"/>
          </w:tcPr>
          <w:p w14:paraId="662B25AC" w14:textId="71A1CE3B"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.451</w:t>
            </w:r>
          </w:p>
        </w:tc>
      </w:tr>
      <w:tr w:rsidR="00AE5C8C" w:rsidRPr="00AE5C8C" w14:paraId="54E932AB"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61D02649" w14:textId="6C90AE86"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BMI</w:t>
            </w:r>
          </w:p>
        </w:tc>
        <w:tc>
          <w:tcPr>
            <w:tcW w:w="1002" w:type="dxa"/>
            <w:vAlign w:val="center"/>
          </w:tcPr>
          <w:p w14:paraId="0959BAD4" w14:textId="3C6DD220"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25.275</w:t>
            </w:r>
          </w:p>
        </w:tc>
        <w:tc>
          <w:tcPr>
            <w:tcW w:w="982" w:type="dxa"/>
            <w:vAlign w:val="center"/>
          </w:tcPr>
          <w:p w14:paraId="5261179A" w14:textId="43DC134F"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25.072</w:t>
            </w:r>
          </w:p>
        </w:tc>
        <w:tc>
          <w:tcPr>
            <w:tcW w:w="983" w:type="dxa"/>
            <w:vAlign w:val="center"/>
          </w:tcPr>
          <w:p w14:paraId="71D35ECF" w14:textId="7CE3BC0C"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.810</w:t>
            </w:r>
          </w:p>
        </w:tc>
      </w:tr>
      <w:tr w:rsidR="00AE5C8C" w:rsidRPr="00AE5C8C" w14:paraId="4ADA2149"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70" w:type="dxa"/>
            <w:vAlign w:val="center"/>
          </w:tcPr>
          <w:p w14:paraId="1149B38C" w14:textId="37D33E46"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Waist hip ratio</w:t>
            </w:r>
          </w:p>
        </w:tc>
        <w:tc>
          <w:tcPr>
            <w:tcW w:w="1002" w:type="dxa"/>
            <w:vAlign w:val="center"/>
          </w:tcPr>
          <w:p w14:paraId="5379CB23" w14:textId="723CAB3D"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.885</w:t>
            </w:r>
          </w:p>
        </w:tc>
        <w:tc>
          <w:tcPr>
            <w:tcW w:w="982" w:type="dxa"/>
            <w:vAlign w:val="center"/>
          </w:tcPr>
          <w:p w14:paraId="0272F049" w14:textId="7648F956"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.879</w:t>
            </w:r>
          </w:p>
        </w:tc>
        <w:tc>
          <w:tcPr>
            <w:tcW w:w="983" w:type="dxa"/>
            <w:vAlign w:val="center"/>
          </w:tcPr>
          <w:p w14:paraId="0E78C995" w14:textId="33EE4B0E"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Pr="00DC6215">
              <w:rPr>
                <w:rFonts w:ascii="Times New Roman" w:hAnsi="Times New Roman" w:cs="Times New Roman"/>
                <w:sz w:val="20"/>
                <w:szCs w:val="20"/>
              </w:rPr>
              <w:t>.890</w:t>
            </w:r>
          </w:p>
        </w:tc>
      </w:tr>
    </w:tbl>
    <w:p w14:paraId="7F256D01" w14:textId="2CBE5615" w:rsidR="00AE5C8C" w:rsidRDefault="00AE5C8C" w:rsidP="00AE5C8C">
      <w:pPr>
        <w:pStyle w:val="Noindentpara"/>
        <w:jc w:val="center"/>
        <w:rPr>
          <w:b/>
          <w:color w:val="003296"/>
          <w:lang w:val="en-US"/>
        </w:rPr>
      </w:pPr>
      <w:r w:rsidRPr="00AE5C8C">
        <w:rPr>
          <w:b/>
          <w:color w:val="003296"/>
          <w:lang w:val="en-US"/>
        </w:rPr>
        <w:t>Table 10: AC comparison with metabolic syndrome and disease activity for spondylarthritis</w:t>
      </w:r>
      <w:r>
        <w:rPr>
          <w:b/>
          <w:color w:val="003296"/>
          <w:lang w:val="en-US"/>
        </w:rPr>
        <w:t>.</w:t>
      </w:r>
    </w:p>
    <w:tbl>
      <w:tblPr>
        <w:tblStyle w:val="MediumShading1-Accent11"/>
        <w:tblW w:w="4537" w:type="dxa"/>
        <w:jc w:val="center"/>
        <w:tblLook w:val="04A0" w:firstRow="1" w:lastRow="0" w:firstColumn="1" w:lastColumn="0" w:noHBand="0" w:noVBand="1"/>
      </w:tblPr>
      <w:tblGrid>
        <w:gridCol w:w="1418"/>
        <w:gridCol w:w="1250"/>
        <w:gridCol w:w="1161"/>
        <w:gridCol w:w="708"/>
      </w:tblGrid>
      <w:tr w:rsidR="00AE5C8C" w:rsidRPr="00AE5C8C" w14:paraId="3FC01A5F" w14:textId="77777777" w:rsidTr="00AE5C8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225F2FD2" w14:textId="684E3ABC" w:rsidR="00AE5C8C" w:rsidRPr="00AE5C8C" w:rsidRDefault="00AE5C8C" w:rsidP="00AE5C8C">
            <w:pPr>
              <w:spacing w:after="0" w:line="240" w:lineRule="auto"/>
              <w:rPr>
                <w:rFonts w:ascii="Times New Roman" w:hAnsi="Times New Roman" w:cs="Times New Roman"/>
                <w:bCs w:val="0"/>
                <w:sz w:val="20"/>
                <w:szCs w:val="20"/>
              </w:rPr>
            </w:pPr>
            <w:r w:rsidRPr="00AE5C8C">
              <w:rPr>
                <w:rFonts w:ascii="Times New Roman" w:hAnsi="Times New Roman" w:cs="Times New Roman"/>
                <w:bCs w:val="0"/>
                <w:sz w:val="20"/>
                <w:szCs w:val="20"/>
              </w:rPr>
              <w:t>Factors</w:t>
            </w:r>
          </w:p>
        </w:tc>
        <w:tc>
          <w:tcPr>
            <w:tcW w:w="1250" w:type="dxa"/>
            <w:vAlign w:val="center"/>
          </w:tcPr>
          <w:p w14:paraId="38BA583E" w14:textId="7EC9C979"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Proportion within high AC (N=20) (%)</w:t>
            </w:r>
          </w:p>
        </w:tc>
        <w:tc>
          <w:tcPr>
            <w:tcW w:w="1161" w:type="dxa"/>
            <w:vAlign w:val="center"/>
          </w:tcPr>
          <w:p w14:paraId="5FD80AE7" w14:textId="1310ECBF"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Proportion within low AC(N=25) (%)</w:t>
            </w:r>
          </w:p>
        </w:tc>
        <w:tc>
          <w:tcPr>
            <w:tcW w:w="708" w:type="dxa"/>
            <w:vAlign w:val="center"/>
          </w:tcPr>
          <w:p w14:paraId="7E272B96" w14:textId="29DE780C" w:rsidR="00AE5C8C" w:rsidRPr="00AE5C8C" w:rsidRDefault="00AE5C8C" w:rsidP="00AE5C8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AE5C8C">
              <w:rPr>
                <w:rFonts w:ascii="Times New Roman" w:hAnsi="Times New Roman" w:cs="Times New Roman"/>
                <w:bCs w:val="0"/>
                <w:sz w:val="20"/>
                <w:szCs w:val="20"/>
              </w:rPr>
              <w:t>P value</w:t>
            </w:r>
          </w:p>
        </w:tc>
      </w:tr>
      <w:tr w:rsidR="00AE5C8C" w:rsidRPr="00AE5C8C" w14:paraId="29A6D0F4"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7C0722C" w14:textId="417765E6"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Metabolic syndrome</w:t>
            </w:r>
          </w:p>
        </w:tc>
        <w:tc>
          <w:tcPr>
            <w:tcW w:w="1250" w:type="dxa"/>
            <w:vAlign w:val="center"/>
          </w:tcPr>
          <w:p w14:paraId="3CE8DCA6" w14:textId="68E3CB63"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4 (20)</w:t>
            </w:r>
          </w:p>
        </w:tc>
        <w:tc>
          <w:tcPr>
            <w:tcW w:w="1161" w:type="dxa"/>
            <w:vAlign w:val="center"/>
          </w:tcPr>
          <w:p w14:paraId="4C659DE7" w14:textId="0FE7643D"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 (4)</w:t>
            </w:r>
          </w:p>
        </w:tc>
        <w:tc>
          <w:tcPr>
            <w:tcW w:w="708" w:type="dxa"/>
            <w:vAlign w:val="center"/>
          </w:tcPr>
          <w:p w14:paraId="71677956" w14:textId="207F5B5C"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C6215">
              <w:rPr>
                <w:rFonts w:ascii="Times New Roman" w:hAnsi="Times New Roman" w:cs="Times New Roman"/>
                <w:sz w:val="20"/>
                <w:szCs w:val="20"/>
              </w:rPr>
              <w:t>0.155</w:t>
            </w:r>
          </w:p>
        </w:tc>
      </w:tr>
      <w:tr w:rsidR="00AE5C8C" w:rsidRPr="00AE5C8C" w14:paraId="1E7D970D" w14:textId="77777777" w:rsidTr="00AE5C8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7FAAEC17" w14:textId="532713EC"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High disease activity</w:t>
            </w:r>
          </w:p>
        </w:tc>
        <w:tc>
          <w:tcPr>
            <w:tcW w:w="1250" w:type="dxa"/>
            <w:vAlign w:val="center"/>
          </w:tcPr>
          <w:p w14:paraId="5B302B2F" w14:textId="743AD6EC"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17 (85)</w:t>
            </w:r>
          </w:p>
        </w:tc>
        <w:tc>
          <w:tcPr>
            <w:tcW w:w="1161" w:type="dxa"/>
            <w:vAlign w:val="center"/>
          </w:tcPr>
          <w:p w14:paraId="61F59B97" w14:textId="07056940"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21 (84)</w:t>
            </w:r>
          </w:p>
        </w:tc>
        <w:tc>
          <w:tcPr>
            <w:tcW w:w="708" w:type="dxa"/>
            <w:vAlign w:val="center"/>
          </w:tcPr>
          <w:p w14:paraId="265ED0D1" w14:textId="1924AE34" w:rsidR="00AE5C8C" w:rsidRPr="00AE5C8C" w:rsidRDefault="00AE5C8C" w:rsidP="00AE5C8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0"/>
                <w:szCs w:val="20"/>
              </w:rPr>
            </w:pPr>
            <w:r w:rsidRPr="00DC6215">
              <w:rPr>
                <w:rFonts w:ascii="Times New Roman" w:hAnsi="Times New Roman" w:cs="Times New Roman"/>
                <w:sz w:val="20"/>
                <w:szCs w:val="20"/>
              </w:rPr>
              <w:t>1.00</w:t>
            </w:r>
          </w:p>
        </w:tc>
      </w:tr>
      <w:tr w:rsidR="00AE5C8C" w:rsidRPr="00AE5C8C" w14:paraId="3D28690B" w14:textId="77777777" w:rsidTr="00AE5C8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53189F3E" w14:textId="22047A7E" w:rsidR="00AE5C8C" w:rsidRPr="00AE5C8C" w:rsidRDefault="00AE5C8C" w:rsidP="00AE5C8C">
            <w:pPr>
              <w:spacing w:after="0" w:line="240" w:lineRule="auto"/>
              <w:rPr>
                <w:rFonts w:ascii="Times New Roman" w:hAnsi="Times New Roman" w:cs="Times New Roman"/>
                <w:bCs w:val="0"/>
                <w:sz w:val="20"/>
                <w:szCs w:val="20"/>
              </w:rPr>
            </w:pPr>
            <w:r w:rsidRPr="00DC6215">
              <w:rPr>
                <w:rFonts w:ascii="Times New Roman" w:hAnsi="Times New Roman" w:cs="Times New Roman"/>
                <w:sz w:val="20"/>
                <w:szCs w:val="20"/>
              </w:rPr>
              <w:t>Current TNF (</w:t>
            </w:r>
            <w:proofErr w:type="spellStart"/>
            <w:r w:rsidRPr="00DC6215">
              <w:rPr>
                <w:rFonts w:ascii="Times New Roman" w:hAnsi="Times New Roman" w:cs="Times New Roman"/>
                <w:sz w:val="20"/>
                <w:szCs w:val="20"/>
              </w:rPr>
              <w:t>i</w:t>
            </w:r>
            <w:proofErr w:type="spellEnd"/>
            <w:r w:rsidRPr="00DC6215">
              <w:rPr>
                <w:rFonts w:ascii="Times New Roman" w:hAnsi="Times New Roman" w:cs="Times New Roman"/>
                <w:sz w:val="20"/>
                <w:szCs w:val="20"/>
              </w:rPr>
              <w:t>) use</w:t>
            </w:r>
          </w:p>
        </w:tc>
        <w:tc>
          <w:tcPr>
            <w:tcW w:w="1250" w:type="dxa"/>
            <w:vAlign w:val="center"/>
          </w:tcPr>
          <w:p w14:paraId="72A1FF56" w14:textId="32AD2C9C"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10 (50)</w:t>
            </w:r>
          </w:p>
        </w:tc>
        <w:tc>
          <w:tcPr>
            <w:tcW w:w="1161" w:type="dxa"/>
            <w:vAlign w:val="center"/>
          </w:tcPr>
          <w:p w14:paraId="4BCD8313" w14:textId="4B81FD7E"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8 (32)</w:t>
            </w:r>
          </w:p>
        </w:tc>
        <w:tc>
          <w:tcPr>
            <w:tcW w:w="708" w:type="dxa"/>
            <w:vAlign w:val="center"/>
          </w:tcPr>
          <w:p w14:paraId="262A3B0F" w14:textId="2DB37ED0" w:rsidR="00AE5C8C" w:rsidRPr="00AE5C8C" w:rsidRDefault="00AE5C8C" w:rsidP="00AE5C8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C6215">
              <w:rPr>
                <w:rFonts w:ascii="Times New Roman" w:hAnsi="Times New Roman" w:cs="Times New Roman"/>
                <w:sz w:val="20"/>
                <w:szCs w:val="20"/>
              </w:rPr>
              <w:t>0.179</w:t>
            </w:r>
          </w:p>
        </w:tc>
      </w:tr>
    </w:tbl>
    <w:p w14:paraId="0DCAC9EF" w14:textId="6B8B4C7E" w:rsidR="00B57A4C" w:rsidRDefault="006C391E" w:rsidP="004A6C8F">
      <w:pPr>
        <w:pStyle w:val="H1"/>
      </w:pPr>
      <w:r w:rsidRPr="005F6283">
        <w:t>D</w:t>
      </w:r>
      <w:r w:rsidR="004D0663" w:rsidRPr="005F6283">
        <w:rPr>
          <w:caps w:val="0"/>
        </w:rPr>
        <w:t>ISCUSSION</w:t>
      </w:r>
    </w:p>
    <w:p w14:paraId="61E6E79E" w14:textId="77777777" w:rsidR="00E674A9" w:rsidRPr="003846EA" w:rsidRDefault="00E674A9" w:rsidP="00E674A9">
      <w:pPr>
        <w:spacing w:before="240" w:line="240" w:lineRule="auto"/>
        <w:jc w:val="both"/>
        <w:rPr>
          <w:rFonts w:ascii="Times New Roman" w:hAnsi="Times New Roman"/>
          <w:sz w:val="20"/>
          <w:szCs w:val="20"/>
          <w:vertAlign w:val="superscript"/>
        </w:rPr>
      </w:pPr>
      <w:r w:rsidRPr="003846EA">
        <w:rPr>
          <w:rFonts w:ascii="Times New Roman" w:hAnsi="Times New Roman"/>
          <w:sz w:val="20"/>
          <w:szCs w:val="20"/>
        </w:rPr>
        <w:t xml:space="preserve">The present study comprehensively analyses baseline characteristics and atherogenic indices in a cohort of 45 individuals with spondylarthritis. Among the participants, the majority were male (68.9%), with a mean age of 37.73 years. Primary ankylosing spondylitis (AS) was the predominant diagnosis (62.2%), and a noteworthy proportion displayed involvement in both axial and peripheral joints (75.6%). HLA B27, a genetic marker linked to spondylarthritis, was noted in 33.3% of the cases. The average disease duration was 6.7 years, indicating a chronic disease course. Anthropometric measurements revealed a slightly elevated mean BMI of 25.16 kg/m², with waist and hip circumference averaging 88.82 cm and 100.68 cm, respectively. Notably, several lipid ratios, including the AIP, Castelli's risk indices I and II, and atherogenic coefficient, were calculated, providing valuable insights into the cardiovascular risk profile of the study population. </w:t>
      </w:r>
      <w:proofErr w:type="spellStart"/>
      <w:r w:rsidRPr="003846EA">
        <w:rPr>
          <w:rFonts w:ascii="Times New Roman" w:hAnsi="Times New Roman"/>
          <w:sz w:val="20"/>
          <w:szCs w:val="20"/>
        </w:rPr>
        <w:t>Slouma</w:t>
      </w:r>
      <w:proofErr w:type="spellEnd"/>
      <w:r w:rsidRPr="003846EA">
        <w:rPr>
          <w:rFonts w:ascii="Times New Roman" w:hAnsi="Times New Roman"/>
          <w:sz w:val="20"/>
          <w:szCs w:val="20"/>
        </w:rPr>
        <w:t xml:space="preserve"> et al also reported similar study findings where a mean age of 46±11.9 was reported among 45 patients. The study also reported a mean BMI of 25.7±5.1 based on the patient's findings, which was almost similar to our study findings.</w:t>
      </w:r>
      <w:r w:rsidRPr="003846EA">
        <w:rPr>
          <w:rFonts w:ascii="Times New Roman" w:hAnsi="Times New Roman"/>
          <w:sz w:val="20"/>
          <w:szCs w:val="20"/>
          <w:vertAlign w:val="superscript"/>
        </w:rPr>
        <w:t>16</w:t>
      </w:r>
      <w:r w:rsidRPr="003846EA">
        <w:rPr>
          <w:rFonts w:ascii="Times New Roman" w:hAnsi="Times New Roman"/>
          <w:sz w:val="20"/>
          <w:szCs w:val="20"/>
        </w:rPr>
        <w:t> In addition, a study conducted by Fernandez-Macias et al among 340 women with AS demonstrated a high BMI among patients with a mean age of 46±17.0, similar to our study findings.</w:t>
      </w:r>
      <w:r w:rsidRPr="003846EA">
        <w:rPr>
          <w:rFonts w:ascii="Times New Roman" w:hAnsi="Times New Roman"/>
          <w:sz w:val="20"/>
          <w:szCs w:val="20"/>
          <w:vertAlign w:val="superscript"/>
        </w:rPr>
        <w:t xml:space="preserve">17 </w:t>
      </w:r>
    </w:p>
    <w:p w14:paraId="72508DBC" w14:textId="77777777" w:rsidR="00E674A9" w:rsidRPr="003846EA" w:rsidRDefault="00E674A9" w:rsidP="00E674A9">
      <w:pPr>
        <w:spacing w:before="240" w:line="240" w:lineRule="auto"/>
        <w:jc w:val="both"/>
        <w:rPr>
          <w:rFonts w:ascii="Times New Roman" w:hAnsi="Times New Roman"/>
          <w:sz w:val="20"/>
          <w:szCs w:val="20"/>
        </w:rPr>
      </w:pPr>
      <w:r w:rsidRPr="003846EA">
        <w:rPr>
          <w:rFonts w:ascii="Times New Roman" w:hAnsi="Times New Roman"/>
          <w:sz w:val="20"/>
          <w:szCs w:val="20"/>
        </w:rPr>
        <w:t xml:space="preserve">Accurately identifying </w:t>
      </w:r>
      <w:proofErr w:type="spellStart"/>
      <w:r w:rsidRPr="003846EA">
        <w:rPr>
          <w:rFonts w:ascii="Times New Roman" w:hAnsi="Times New Roman"/>
          <w:sz w:val="20"/>
          <w:szCs w:val="20"/>
        </w:rPr>
        <w:t>spondyloarthritis</w:t>
      </w:r>
      <w:proofErr w:type="spellEnd"/>
      <w:r w:rsidRPr="003846EA">
        <w:rPr>
          <w:rFonts w:ascii="Times New Roman" w:hAnsi="Times New Roman"/>
          <w:sz w:val="20"/>
          <w:szCs w:val="20"/>
        </w:rPr>
        <w:t xml:space="preserve"> patients at risk of cardiovascular diseases (CVD) faces a significant </w:t>
      </w:r>
      <w:r w:rsidRPr="003846EA">
        <w:rPr>
          <w:rFonts w:ascii="Times New Roman" w:hAnsi="Times New Roman"/>
          <w:sz w:val="20"/>
          <w:szCs w:val="20"/>
        </w:rPr>
        <w:lastRenderedPageBreak/>
        <w:t>challenge, especially in low-income and middle-income countries where cost-effective tools are essential. The study conducted by Fernandez-Macias et al assessed well-known CVD biomarkers, including ADMA, FABP4, AIP, Framingham risk score, and Castelli’s risk index, to identify a suitable, cost-effective, rapid, specific, and non-invasive tool for predicting CVD events in developing nations. This suggests that AIP holds promise as an effective tool for CVD prognosis in resource-limited settings.</w:t>
      </w:r>
      <w:r w:rsidRPr="003846EA">
        <w:rPr>
          <w:rFonts w:ascii="Times New Roman" w:hAnsi="Times New Roman"/>
          <w:sz w:val="20"/>
          <w:szCs w:val="20"/>
          <w:vertAlign w:val="superscript"/>
        </w:rPr>
        <w:t>17</w:t>
      </w:r>
    </w:p>
    <w:p w14:paraId="175A505F" w14:textId="77777777" w:rsidR="00E674A9" w:rsidRPr="003846EA" w:rsidRDefault="00E674A9" w:rsidP="00E674A9">
      <w:pPr>
        <w:spacing w:before="240" w:line="240" w:lineRule="auto"/>
        <w:jc w:val="both"/>
        <w:rPr>
          <w:rFonts w:ascii="Times New Roman" w:hAnsi="Times New Roman"/>
          <w:sz w:val="20"/>
          <w:szCs w:val="20"/>
        </w:rPr>
      </w:pPr>
      <w:r w:rsidRPr="003846EA">
        <w:rPr>
          <w:rFonts w:ascii="Times New Roman" w:hAnsi="Times New Roman"/>
          <w:sz w:val="20"/>
          <w:szCs w:val="20"/>
        </w:rPr>
        <w:t xml:space="preserve">Importantly, atherogenic indices were assessed, and specific thresholds were defined for elevated values. These thresholds included an AIP greater than 0.11in 51.1% of patients (23/45), CR-I exceeding 3.5 for males including 77.8% of patients (28/36) or 3.0 for females with 77.8% (7 out of 9 females), CR-II surpassing 3.0 with 26.7% of patients (12/45), and an AC greater than 3.0 was reported in 44.4% of patients (20/45), respectively. These indices serve as critical indicators of cardiovascular risk in </w:t>
      </w:r>
      <w:proofErr w:type="spellStart"/>
      <w:r w:rsidRPr="003846EA">
        <w:rPr>
          <w:rFonts w:ascii="Times New Roman" w:hAnsi="Times New Roman"/>
          <w:sz w:val="20"/>
          <w:szCs w:val="20"/>
        </w:rPr>
        <w:t>spondyloarthritis</w:t>
      </w:r>
      <w:proofErr w:type="spellEnd"/>
      <w:r w:rsidRPr="003846EA">
        <w:rPr>
          <w:rFonts w:ascii="Times New Roman" w:hAnsi="Times New Roman"/>
          <w:sz w:val="20"/>
          <w:szCs w:val="20"/>
        </w:rPr>
        <w:t xml:space="preserve"> patients. </w:t>
      </w:r>
    </w:p>
    <w:p w14:paraId="7ECA15B7" w14:textId="77777777" w:rsidR="00E674A9" w:rsidRPr="003846EA" w:rsidRDefault="00E674A9" w:rsidP="00E674A9">
      <w:pPr>
        <w:spacing w:before="240" w:line="240" w:lineRule="auto"/>
        <w:jc w:val="both"/>
        <w:rPr>
          <w:rFonts w:ascii="Times New Roman" w:hAnsi="Times New Roman"/>
          <w:sz w:val="20"/>
          <w:szCs w:val="20"/>
          <w:vertAlign w:val="superscript"/>
        </w:rPr>
      </w:pPr>
      <w:r w:rsidRPr="003846EA">
        <w:rPr>
          <w:rFonts w:ascii="Times New Roman" w:hAnsi="Times New Roman"/>
          <w:sz w:val="20"/>
          <w:szCs w:val="20"/>
        </w:rPr>
        <w:t xml:space="preserve">Furthermore, bivariate analysis examined potential associations between AIP and various physiological variables. The results revealed significant correlations between AIP and waist-hip ratio (0.301, p value 0.045) and AIP and fasting blood sugar (0.339, p value 0.023). These findings suggest potential links between lipid metabolism, body composition, and metabolic parameters. This underscores the importance of considering these interrelationships in assessing cardiovascular risk among </w:t>
      </w:r>
      <w:proofErr w:type="spellStart"/>
      <w:r w:rsidRPr="003846EA">
        <w:rPr>
          <w:rFonts w:ascii="Times New Roman" w:hAnsi="Times New Roman"/>
          <w:sz w:val="20"/>
          <w:szCs w:val="20"/>
        </w:rPr>
        <w:t>spondyloarthritis</w:t>
      </w:r>
      <w:proofErr w:type="spellEnd"/>
      <w:r w:rsidRPr="003846EA">
        <w:rPr>
          <w:rFonts w:ascii="Times New Roman" w:hAnsi="Times New Roman"/>
          <w:sz w:val="20"/>
          <w:szCs w:val="20"/>
        </w:rPr>
        <w:t xml:space="preserve"> patients. A significant correlation between the waist-hip ratio and AIP (was also reported by Fernandez-Macias (p value &lt;0.05), where ADMA and FABP4 were included in the analysis.</w:t>
      </w:r>
      <w:r w:rsidRPr="003846EA">
        <w:rPr>
          <w:rFonts w:ascii="Times New Roman" w:hAnsi="Times New Roman"/>
          <w:sz w:val="20"/>
          <w:szCs w:val="20"/>
          <w:vertAlign w:val="superscript"/>
        </w:rPr>
        <w:t>17</w:t>
      </w:r>
      <w:r w:rsidRPr="003846EA">
        <w:rPr>
          <w:rFonts w:ascii="Times New Roman" w:hAnsi="Times New Roman"/>
          <w:sz w:val="20"/>
          <w:szCs w:val="20"/>
        </w:rPr>
        <w:t xml:space="preserve"> Similar study results were also reported by Cure et al., where certain factors, including lipid levels, BMI, and disease duration, were compared among patients.</w:t>
      </w:r>
      <w:r w:rsidRPr="003846EA">
        <w:rPr>
          <w:rFonts w:ascii="Times New Roman" w:hAnsi="Times New Roman"/>
          <w:sz w:val="20"/>
          <w:szCs w:val="20"/>
          <w:vertAlign w:val="superscript"/>
        </w:rPr>
        <w:t>18</w:t>
      </w:r>
      <w:r w:rsidRPr="003846EA">
        <w:rPr>
          <w:rFonts w:ascii="Times New Roman" w:hAnsi="Times New Roman"/>
          <w:sz w:val="20"/>
          <w:szCs w:val="20"/>
        </w:rPr>
        <w:t xml:space="preserve"> Our study findings included elevated levels of lipid profile among AS cases, which was also similar to the study conducted by </w:t>
      </w:r>
      <w:proofErr w:type="spellStart"/>
      <w:r w:rsidRPr="003846EA">
        <w:rPr>
          <w:rFonts w:ascii="Times New Roman" w:hAnsi="Times New Roman"/>
          <w:sz w:val="20"/>
          <w:szCs w:val="20"/>
        </w:rPr>
        <w:t>Malesci</w:t>
      </w:r>
      <w:proofErr w:type="spellEnd"/>
      <w:r w:rsidRPr="003846EA">
        <w:rPr>
          <w:rFonts w:ascii="Times New Roman" w:hAnsi="Times New Roman"/>
          <w:sz w:val="20"/>
          <w:szCs w:val="20"/>
        </w:rPr>
        <w:t xml:space="preserve"> et al where the lipid profile analysis demonstrated elevated levels of LDL and TG/HDL ratios in patients diagnosed with ankylosing spondylitis (AS) compared to the healthy control subjects. Conversely, patients with AS exhibited lower levels of high-density lipoprotein (HDL) compared to their healthy counterparts. These lipid abnormalities may signify an increased risk of cardiovascular complications in individuals with AS, underlining the importance of monitoring and managing lipid profiles in this patient population.</w:t>
      </w:r>
      <w:r w:rsidRPr="003846EA">
        <w:rPr>
          <w:rFonts w:ascii="Times New Roman" w:hAnsi="Times New Roman"/>
          <w:sz w:val="20"/>
          <w:szCs w:val="20"/>
          <w:vertAlign w:val="superscript"/>
        </w:rPr>
        <w:t>19</w:t>
      </w:r>
    </w:p>
    <w:p w14:paraId="29AFF914" w14:textId="77777777" w:rsidR="00E674A9" w:rsidRPr="003846EA" w:rsidRDefault="00E674A9" w:rsidP="00E674A9">
      <w:pPr>
        <w:spacing w:before="240" w:line="240" w:lineRule="auto"/>
        <w:jc w:val="both"/>
        <w:rPr>
          <w:rFonts w:ascii="Times New Roman" w:hAnsi="Times New Roman"/>
          <w:sz w:val="20"/>
          <w:szCs w:val="20"/>
          <w:vertAlign w:val="superscript"/>
        </w:rPr>
      </w:pPr>
      <w:r w:rsidRPr="003846EA">
        <w:rPr>
          <w:rFonts w:ascii="Times New Roman" w:hAnsi="Times New Roman"/>
          <w:sz w:val="20"/>
          <w:szCs w:val="20"/>
        </w:rPr>
        <w:t xml:space="preserve">When exploring the association between atherogenic indices and metabolic factors, all the individuals with metabolic syndrome in </w:t>
      </w:r>
      <w:proofErr w:type="spellStart"/>
      <w:r w:rsidRPr="003846EA">
        <w:rPr>
          <w:rFonts w:ascii="Times New Roman" w:hAnsi="Times New Roman"/>
          <w:sz w:val="20"/>
          <w:szCs w:val="20"/>
        </w:rPr>
        <w:t>spondyloarthritis</w:t>
      </w:r>
      <w:proofErr w:type="spellEnd"/>
      <w:r w:rsidRPr="003846EA">
        <w:rPr>
          <w:rFonts w:ascii="Times New Roman" w:hAnsi="Times New Roman"/>
          <w:sz w:val="20"/>
          <w:szCs w:val="20"/>
        </w:rPr>
        <w:t xml:space="preserve"> had a high AIP. This suggested that AIP could accurately pick up patients with metabolic syndrome, similar to previous studies. However, the study did not find significant differences in the two groups' high disease activity and body mass index.</w:t>
      </w:r>
      <w:r w:rsidRPr="003846EA">
        <w:rPr>
          <w:rFonts w:ascii="Times New Roman" w:hAnsi="Times New Roman"/>
          <w:sz w:val="20"/>
          <w:szCs w:val="20"/>
          <w:vertAlign w:val="superscript"/>
        </w:rPr>
        <w:t>18</w:t>
      </w:r>
    </w:p>
    <w:p w14:paraId="5EF347CF" w14:textId="77777777" w:rsidR="00E674A9" w:rsidRPr="003846EA" w:rsidRDefault="00E674A9" w:rsidP="00E674A9">
      <w:pPr>
        <w:spacing w:before="240" w:line="240" w:lineRule="auto"/>
        <w:jc w:val="both"/>
        <w:rPr>
          <w:rFonts w:ascii="Times New Roman" w:hAnsi="Times New Roman"/>
          <w:sz w:val="20"/>
          <w:szCs w:val="20"/>
          <w:vertAlign w:val="superscript"/>
        </w:rPr>
      </w:pPr>
      <w:r w:rsidRPr="003846EA">
        <w:rPr>
          <w:rFonts w:ascii="Times New Roman" w:hAnsi="Times New Roman"/>
          <w:sz w:val="20"/>
          <w:szCs w:val="20"/>
        </w:rPr>
        <w:lastRenderedPageBreak/>
        <w:t>Additionally, when examining the impact of Castelli's risk index I (CRI-I), it was observed that fasting blood glucose levels were significantly higher in the high CRI-I group (mean=87.07 mg/dl) compared to the low CRI-I group (mean=75.06 mg/dl), with a p value of 0.033. This suggests a potential association between elevated fasting blood glucose and atherogenic risk. Conversely, uric acid levels, ESR, and CRP displayed no significant differences between the groups (p=0.968, p=0.262, and p=0.352, respectively). Furthermore, no significant associations were found between metabolic syndrome, high disease activity, TNF inhibitor use, and CRI-I levels. These findings underscore the potential role of fasting blood glucose levels as an important marker in assessing atherogenic risk in patients with AS. The outcomes of our investigation align with the data. Specifically, the levels of triglycerides (TG) exhibited a statistically significant difference (p=0.005), alongside erythrocyte sedimentation rate (ESR) (p&lt;0.001) and C-reactive protein (CRP) (p&lt;0.001), all of which were elevated in the ankylosing spondylitis (AS) group compared to the control group. In contrast, haemoglobin (Hb) values were lower in the AS group than in the control group. Notably, the remaining biochemical parameters demonstrated comparable values between both cohorts.</w:t>
      </w:r>
      <w:r w:rsidRPr="003846EA">
        <w:rPr>
          <w:rFonts w:ascii="Times New Roman" w:hAnsi="Times New Roman"/>
          <w:sz w:val="20"/>
          <w:szCs w:val="20"/>
          <w:vertAlign w:val="superscript"/>
        </w:rPr>
        <w:t>18</w:t>
      </w:r>
      <w:r w:rsidRPr="003846EA">
        <w:rPr>
          <w:rFonts w:ascii="Times New Roman" w:hAnsi="Times New Roman"/>
          <w:sz w:val="20"/>
          <w:szCs w:val="20"/>
        </w:rPr>
        <w:t xml:space="preserve"> However, this was not similar to the findings of Filho et al where a notable escalation in TG levels was observed (p=0.03). The median difference between the initial and subsequent TG measurements was 16 mg/dl, and this elevation was not correlated with gender, duration of use, indication for use, or specific type of anti-TNF-α treatment (P=NS). This led to the conclusion that the administration of anti-TNF-α is linked with elevated TG values.</w:t>
      </w:r>
      <w:r w:rsidRPr="003846EA">
        <w:rPr>
          <w:rFonts w:ascii="Times New Roman" w:hAnsi="Times New Roman"/>
          <w:sz w:val="20"/>
          <w:szCs w:val="20"/>
          <w:vertAlign w:val="superscript"/>
        </w:rPr>
        <w:t>20</w:t>
      </w:r>
    </w:p>
    <w:p w14:paraId="3616BE58" w14:textId="77777777" w:rsidR="00E674A9" w:rsidRPr="003846EA" w:rsidRDefault="00E674A9" w:rsidP="00E674A9">
      <w:pPr>
        <w:spacing w:before="240" w:line="240" w:lineRule="auto"/>
        <w:jc w:val="both"/>
        <w:rPr>
          <w:rFonts w:ascii="Times New Roman" w:hAnsi="Times New Roman"/>
          <w:sz w:val="20"/>
          <w:szCs w:val="20"/>
          <w:vertAlign w:val="superscript"/>
        </w:rPr>
      </w:pPr>
      <w:r w:rsidRPr="003846EA">
        <w:rPr>
          <w:rFonts w:ascii="Times New Roman" w:hAnsi="Times New Roman"/>
          <w:sz w:val="20"/>
          <w:szCs w:val="20"/>
        </w:rPr>
        <w:t>In the case of Castelli's risk index II, uric acid levels were significantly higher in the high CRI-II group, implying a potential link between elevated uric acid levels and atherogenic risk. However, the two groups observed no significant differences in fasting blood glucose, ESR, CRP, BMI, or waist-hip ratio. Similarly, metabolic syndrome and high disease activity showed no significant associations with CRI-II levels. The study conducted by Tecer et al reported AIP, AC, TG/HDL, CRI-1, CRI-2, and ca-LDL levels were similar between groups. In the PSA group, CIMT was positively correlated with HOMA-IR, TG/HDL and AIP. Although ca-LDL was positively correlated with serum amyloid A (SAA) (r=0.744, p&lt;0.001), no correlation was detected between ca-LDL and CIMT (r=0.215, p=0.195).</w:t>
      </w:r>
      <w:r w:rsidRPr="003846EA">
        <w:rPr>
          <w:rFonts w:ascii="Times New Roman" w:hAnsi="Times New Roman"/>
          <w:sz w:val="20"/>
          <w:szCs w:val="20"/>
          <w:vertAlign w:val="superscript"/>
        </w:rPr>
        <w:t>21</w:t>
      </w:r>
    </w:p>
    <w:p w14:paraId="21911042" w14:textId="77777777" w:rsidR="00E674A9" w:rsidRPr="003846EA" w:rsidRDefault="00E674A9" w:rsidP="00E674A9">
      <w:pPr>
        <w:spacing w:before="240" w:line="240" w:lineRule="auto"/>
        <w:jc w:val="both"/>
        <w:rPr>
          <w:rFonts w:ascii="Times New Roman" w:hAnsi="Times New Roman"/>
          <w:sz w:val="20"/>
          <w:szCs w:val="20"/>
        </w:rPr>
      </w:pPr>
      <w:r w:rsidRPr="003846EA">
        <w:rPr>
          <w:rFonts w:ascii="Times New Roman" w:hAnsi="Times New Roman"/>
          <w:sz w:val="20"/>
          <w:szCs w:val="20"/>
        </w:rPr>
        <w:t>Finally, the study examined the atherogenic coefficient and its potential associations with various factors. Interestingly, no significant differences were observed between individuals with high and low AC regarding fasting blood glucose, uric acid levels, ESR, CRP, BMI, or waist-hip ratio. Additionally, no significant associations were found between metabolic syndrome, high disease activity, TNF inhibitor use, and AC levels. Similar findings were reported by Fernandez-Marcia et al,</w:t>
      </w:r>
      <w:r w:rsidRPr="003846EA">
        <w:rPr>
          <w:rFonts w:ascii="Times New Roman" w:hAnsi="Times New Roman"/>
          <w:sz w:val="20"/>
          <w:szCs w:val="20"/>
          <w:vertAlign w:val="superscript"/>
        </w:rPr>
        <w:t xml:space="preserve"> </w:t>
      </w:r>
      <w:r w:rsidRPr="003846EA">
        <w:rPr>
          <w:rFonts w:ascii="Times New Roman" w:hAnsi="Times New Roman"/>
          <w:sz w:val="20"/>
          <w:szCs w:val="20"/>
        </w:rPr>
        <w:t>Cure et al, and Tecer et al.</w:t>
      </w:r>
      <w:r w:rsidRPr="003846EA">
        <w:rPr>
          <w:rFonts w:ascii="Times New Roman" w:hAnsi="Times New Roman"/>
          <w:sz w:val="20"/>
          <w:szCs w:val="20"/>
          <w:vertAlign w:val="superscript"/>
        </w:rPr>
        <w:t>17,18,21</w:t>
      </w:r>
    </w:p>
    <w:p w14:paraId="668DAE2C" w14:textId="55298918" w:rsidR="00534E7E" w:rsidRPr="00534E7E" w:rsidRDefault="00E674A9" w:rsidP="00E674A9">
      <w:pPr>
        <w:pStyle w:val="Noindentpara"/>
        <w:rPr>
          <w:lang w:val="en-US"/>
        </w:rPr>
      </w:pPr>
      <w:r w:rsidRPr="003846EA">
        <w:lastRenderedPageBreak/>
        <w:t>This study provides valuable insights into the cardiovascular risk profile of individuals with spondylarthritis. The findings suggest that specific atherogenic indices, such as AIP, Castelli's risk indices I and II, and atherogenic coefficient, can serve as important indicators of cardiovascular risk in this population. Additionally, associations between these indices and metabolic factors, disease activity, and TNF inhibitor use were explored. These results may have clinical implications for risk stratification and management strategies in individuals with spondylarthritis, highlighting the importance of monitoring lipid profiles and metabolic parameters in this patient population. Further research and longitudinal studies are warranted to confirm and expand upon these findings</w:t>
      </w:r>
      <w:r w:rsidR="00534E7E" w:rsidRPr="006168A6">
        <w:rPr>
          <w:lang w:val="en-US"/>
        </w:rPr>
        <w:t>.</w:t>
      </w:r>
    </w:p>
    <w:p w14:paraId="645FCB1D" w14:textId="718D845D" w:rsidR="005A74F1" w:rsidRDefault="005A74F1" w:rsidP="005A74F1">
      <w:pPr>
        <w:pStyle w:val="H1"/>
      </w:pPr>
      <w:r>
        <w:t>C</w:t>
      </w:r>
      <w:r w:rsidR="00A40D36">
        <w:rPr>
          <w:caps w:val="0"/>
        </w:rPr>
        <w:t>ONCLUSION</w:t>
      </w:r>
      <w:r w:rsidR="00A40D36" w:rsidRPr="002467AD">
        <w:rPr>
          <w:caps w:val="0"/>
        </w:rPr>
        <w:t xml:space="preserve"> </w:t>
      </w:r>
    </w:p>
    <w:p w14:paraId="4F78EA39" w14:textId="038886AB" w:rsidR="007777FA" w:rsidRPr="007777FA" w:rsidRDefault="00E674A9" w:rsidP="007777FA">
      <w:pPr>
        <w:pStyle w:val="Noindentpara"/>
        <w:rPr>
          <w:lang w:val="en-US"/>
        </w:rPr>
      </w:pPr>
      <w:proofErr w:type="spellStart"/>
      <w:r w:rsidRPr="00E674A9">
        <w:t>Spondyloarthritis</w:t>
      </w:r>
      <w:proofErr w:type="spellEnd"/>
      <w:r w:rsidRPr="00E674A9">
        <w:t xml:space="preserve"> patients are at increased risk of cardiovascular disease, even without traditional risk factors. Traditional lipid ratios and atherogenic indices, such as the atherogenic index of plasma (AIP), may be elevated in these patients. AIP identified all patients with metabolic syndrome in the study population, suggesting that it may be useful for identifying </w:t>
      </w:r>
      <w:proofErr w:type="spellStart"/>
      <w:r w:rsidRPr="00E674A9">
        <w:t>spondyloarthritis</w:t>
      </w:r>
      <w:proofErr w:type="spellEnd"/>
      <w:r w:rsidRPr="00E674A9">
        <w:t xml:space="preserve"> patients at increased risk of cardiovascular disease. Additionally, current TNF inhibitor therapy patients had higher Castelli's risk index II, a cardiovascular risk marker. This finding is consistent with previous studies showing that TNF inhibitor therapy may increase cardiovascular risk in </w:t>
      </w:r>
      <w:proofErr w:type="spellStart"/>
      <w:r w:rsidRPr="00E674A9">
        <w:t>spondyloarthritis</w:t>
      </w:r>
      <w:proofErr w:type="spellEnd"/>
      <w:r w:rsidRPr="00E674A9">
        <w:t xml:space="preserve"> patients</w:t>
      </w:r>
      <w:r w:rsidR="007777FA" w:rsidRPr="007777FA">
        <w:rPr>
          <w:lang w:val="en-US"/>
        </w:rPr>
        <w:t>.</w:t>
      </w:r>
    </w:p>
    <w:p w14:paraId="6798CEA4" w14:textId="77777777" w:rsidR="001644A0" w:rsidRPr="000D62DB" w:rsidRDefault="001644A0" w:rsidP="001644A0">
      <w:pPr>
        <w:pStyle w:val="Noindentpara"/>
        <w:spacing w:before="0" w:after="0"/>
        <w:rPr>
          <w:i/>
        </w:rPr>
      </w:pPr>
      <w:r w:rsidRPr="000D62DB">
        <w:rPr>
          <w:i/>
        </w:rPr>
        <w:t>Funding: No funding sources</w:t>
      </w:r>
    </w:p>
    <w:p w14:paraId="6C3C4570" w14:textId="77777777" w:rsidR="001644A0" w:rsidRPr="000D62DB" w:rsidRDefault="001644A0" w:rsidP="001644A0">
      <w:pPr>
        <w:pStyle w:val="Noindentpara"/>
        <w:spacing w:before="0" w:after="0"/>
        <w:rPr>
          <w:i/>
        </w:rPr>
      </w:pPr>
      <w:r w:rsidRPr="000D62DB">
        <w:rPr>
          <w:i/>
        </w:rPr>
        <w:t>Conflict of interest: None declared</w:t>
      </w:r>
    </w:p>
    <w:p w14:paraId="5F40CE0D" w14:textId="77777777" w:rsidR="001644A0" w:rsidRPr="001644A0" w:rsidRDefault="001644A0" w:rsidP="001644A0">
      <w:pPr>
        <w:pStyle w:val="Noindentpara"/>
        <w:spacing w:before="0" w:after="0"/>
        <w:rPr>
          <w:i/>
        </w:rPr>
      </w:pPr>
      <w:r w:rsidRPr="000D62DB">
        <w:rPr>
          <w:i/>
        </w:rPr>
        <w:t>Ethical approval: The study was appr</w:t>
      </w:r>
      <w:r>
        <w:rPr>
          <w:i/>
        </w:rPr>
        <w:t>o</w:t>
      </w:r>
      <w:r w:rsidR="004A6C8F">
        <w:rPr>
          <w:i/>
        </w:rPr>
        <w:t xml:space="preserve">ved by the </w:t>
      </w:r>
      <w:r w:rsidR="00D72911">
        <w:rPr>
          <w:i/>
        </w:rPr>
        <w:t>Institutional Ethics</w:t>
      </w:r>
      <w:r w:rsidR="00D72911" w:rsidRPr="000D62DB">
        <w:rPr>
          <w:i/>
        </w:rPr>
        <w:t xml:space="preserve"> </w:t>
      </w:r>
      <w:r w:rsidR="00D72911">
        <w:rPr>
          <w:i/>
        </w:rPr>
        <w:t>Committee</w:t>
      </w:r>
    </w:p>
    <w:p w14:paraId="542DA602" w14:textId="2E9F57A2" w:rsidR="006C391E" w:rsidRPr="0080649D" w:rsidRDefault="006C391E" w:rsidP="004A6C8F">
      <w:pPr>
        <w:pStyle w:val="H1"/>
      </w:pPr>
      <w:r w:rsidRPr="0080649D">
        <w:t>R</w:t>
      </w:r>
      <w:r w:rsidR="00760F06" w:rsidRPr="0080649D">
        <w:rPr>
          <w:caps w:val="0"/>
        </w:rPr>
        <w:t>EFERENCES</w:t>
      </w:r>
    </w:p>
    <w:p w14:paraId="64EFA102" w14:textId="77777777" w:rsidR="00E674A9" w:rsidRDefault="00E674A9" w:rsidP="00E674A9">
      <w:pPr>
        <w:pStyle w:val="Biblio"/>
      </w:pPr>
      <w:proofErr w:type="spellStart"/>
      <w:r>
        <w:t>Crowson</w:t>
      </w:r>
      <w:proofErr w:type="spellEnd"/>
      <w:r>
        <w:t xml:space="preserve"> CS, </w:t>
      </w:r>
      <w:proofErr w:type="spellStart"/>
      <w:r>
        <w:t>Therneau</w:t>
      </w:r>
      <w:proofErr w:type="spellEnd"/>
      <w:r>
        <w:t xml:space="preserve"> TM, Davis JM 3rd, Roger VL, Matteson EL, Gabriel SE. Brief report: accelerated aging influences cardiovascular disease risk in rheumatoid arthritis. Arthritis Rheum. </w:t>
      </w:r>
      <w:proofErr w:type="gramStart"/>
      <w:r>
        <w:t>2013;65:2562</w:t>
      </w:r>
      <w:proofErr w:type="gramEnd"/>
      <w:r>
        <w:t xml:space="preserve">-6. </w:t>
      </w:r>
    </w:p>
    <w:p w14:paraId="5800BFF7" w14:textId="77777777" w:rsidR="00E674A9" w:rsidRDefault="00E674A9" w:rsidP="00E674A9">
      <w:pPr>
        <w:pStyle w:val="Biblio"/>
      </w:pPr>
      <w:r>
        <w:t xml:space="preserve">Liew JW, Ramiro S, Gensler LS. Cardiovascular morbidity and mortality in ankylosing spondylitis and psoriatic arthritis. Best </w:t>
      </w:r>
      <w:proofErr w:type="spellStart"/>
      <w:r>
        <w:t>Pract</w:t>
      </w:r>
      <w:proofErr w:type="spellEnd"/>
      <w:r>
        <w:t xml:space="preserve"> Res </w:t>
      </w:r>
      <w:proofErr w:type="spellStart"/>
      <w:r>
        <w:t>Clin</w:t>
      </w:r>
      <w:proofErr w:type="spellEnd"/>
      <w:r>
        <w:t xml:space="preserve"> </w:t>
      </w:r>
      <w:proofErr w:type="spellStart"/>
      <w:r>
        <w:t>Rheumatol</w:t>
      </w:r>
      <w:proofErr w:type="spellEnd"/>
      <w:r>
        <w:t xml:space="preserve">. </w:t>
      </w:r>
      <w:proofErr w:type="gramStart"/>
      <w:r>
        <w:t>2018;32:369</w:t>
      </w:r>
      <w:proofErr w:type="gramEnd"/>
      <w:r>
        <w:t xml:space="preserve">-89. </w:t>
      </w:r>
    </w:p>
    <w:p w14:paraId="2FD14956" w14:textId="77777777" w:rsidR="00E674A9" w:rsidRDefault="00E674A9" w:rsidP="00E674A9">
      <w:pPr>
        <w:pStyle w:val="Biblio"/>
      </w:pPr>
      <w:proofErr w:type="spellStart"/>
      <w:r>
        <w:t>Luchetti</w:t>
      </w:r>
      <w:proofErr w:type="spellEnd"/>
      <w:r>
        <w:t xml:space="preserve"> MM, </w:t>
      </w:r>
      <w:proofErr w:type="spellStart"/>
      <w:r>
        <w:t>Benfaremo</w:t>
      </w:r>
      <w:proofErr w:type="spellEnd"/>
      <w:r>
        <w:t xml:space="preserve"> D, </w:t>
      </w:r>
      <w:proofErr w:type="spellStart"/>
      <w:r>
        <w:t>Gabrielli</w:t>
      </w:r>
      <w:proofErr w:type="spellEnd"/>
      <w:r>
        <w:t xml:space="preserve"> A. Biologics in inflammatory and </w:t>
      </w:r>
      <w:proofErr w:type="spellStart"/>
      <w:r>
        <w:t>immunomediated</w:t>
      </w:r>
      <w:proofErr w:type="spellEnd"/>
      <w:r>
        <w:t xml:space="preserve"> arthritis. </w:t>
      </w:r>
      <w:proofErr w:type="spellStart"/>
      <w:r>
        <w:t>Curr</w:t>
      </w:r>
      <w:proofErr w:type="spellEnd"/>
      <w:r>
        <w:t xml:space="preserve"> Pharm </w:t>
      </w:r>
      <w:proofErr w:type="spellStart"/>
      <w:r>
        <w:t>Biotechnol</w:t>
      </w:r>
      <w:proofErr w:type="spellEnd"/>
      <w:r>
        <w:t xml:space="preserve">. </w:t>
      </w:r>
      <w:proofErr w:type="gramStart"/>
      <w:r>
        <w:t>2017;18:989</w:t>
      </w:r>
      <w:proofErr w:type="gramEnd"/>
      <w:r>
        <w:t>-1007.</w:t>
      </w:r>
    </w:p>
    <w:p w14:paraId="0AF74395" w14:textId="77777777" w:rsidR="00E674A9" w:rsidRDefault="00E674A9" w:rsidP="00E674A9">
      <w:pPr>
        <w:pStyle w:val="Biblio"/>
      </w:pPr>
      <w:r>
        <w:t xml:space="preserve">Peters MJL, Symmons DPM, </w:t>
      </w:r>
      <w:proofErr w:type="spellStart"/>
      <w:r>
        <w:t>McCarey</w:t>
      </w:r>
      <w:proofErr w:type="spellEnd"/>
      <w:r>
        <w:t xml:space="preserve"> D, </w:t>
      </w:r>
      <w:proofErr w:type="spellStart"/>
      <w:r>
        <w:t>Dijkmans</w:t>
      </w:r>
      <w:proofErr w:type="spellEnd"/>
      <w:r>
        <w:t xml:space="preserve"> BAC, Nicola P, Kvien TK, et al. EULAR evidence-based recommendations for cardiovascular risk management in patients with rheumatoid arthritis and other forms of inflammatory arthritis. Ann Rheum Dis. </w:t>
      </w:r>
      <w:proofErr w:type="gramStart"/>
      <w:r>
        <w:t>2010;69:325</w:t>
      </w:r>
      <w:proofErr w:type="gramEnd"/>
      <w:r>
        <w:t xml:space="preserve">-31. </w:t>
      </w:r>
    </w:p>
    <w:p w14:paraId="4AE86EB7" w14:textId="77777777" w:rsidR="00E674A9" w:rsidRDefault="00E674A9" w:rsidP="00E674A9">
      <w:pPr>
        <w:pStyle w:val="Biblio"/>
      </w:pPr>
      <w:proofErr w:type="spellStart"/>
      <w:r>
        <w:t>Moltó</w:t>
      </w:r>
      <w:proofErr w:type="spellEnd"/>
      <w:r>
        <w:t xml:space="preserve"> A, </w:t>
      </w:r>
      <w:proofErr w:type="spellStart"/>
      <w:r>
        <w:t>Etcheto</w:t>
      </w:r>
      <w:proofErr w:type="spellEnd"/>
      <w:r>
        <w:t xml:space="preserve"> A, van der </w:t>
      </w:r>
      <w:proofErr w:type="spellStart"/>
      <w:r>
        <w:t>Heijde</w:t>
      </w:r>
      <w:proofErr w:type="spellEnd"/>
      <w:r>
        <w:t xml:space="preserve"> D, </w:t>
      </w:r>
      <w:proofErr w:type="spellStart"/>
      <w:r>
        <w:t>Landewé</w:t>
      </w:r>
      <w:proofErr w:type="spellEnd"/>
      <w:r>
        <w:t xml:space="preserve"> R, van den Bosch F, Bautista Molano W, et al. Prevalence of comorbidities and evaluation of their </w:t>
      </w:r>
      <w:r>
        <w:lastRenderedPageBreak/>
        <w:t xml:space="preserve">screening in </w:t>
      </w:r>
      <w:proofErr w:type="spellStart"/>
      <w:r>
        <w:t>spondyloarthritis</w:t>
      </w:r>
      <w:proofErr w:type="spellEnd"/>
      <w:r>
        <w:t xml:space="preserve">: results of the international cross-sectional ASAS-COMOSPA study. Ann Rheum Dis. </w:t>
      </w:r>
      <w:proofErr w:type="gramStart"/>
      <w:r>
        <w:t>2016;75:1016</w:t>
      </w:r>
      <w:proofErr w:type="gramEnd"/>
      <w:r>
        <w:t xml:space="preserve">-23. </w:t>
      </w:r>
    </w:p>
    <w:p w14:paraId="51EC362D" w14:textId="77777777" w:rsidR="00E674A9" w:rsidRDefault="00E674A9" w:rsidP="00E674A9">
      <w:pPr>
        <w:pStyle w:val="Biblio"/>
      </w:pPr>
      <w:r>
        <w:t xml:space="preserve">Mathieu S, </w:t>
      </w:r>
      <w:proofErr w:type="spellStart"/>
      <w:r>
        <w:t>Soubrier</w:t>
      </w:r>
      <w:proofErr w:type="spellEnd"/>
      <w:r>
        <w:t xml:space="preserve"> M. Cardiovascular events in ankylosing spondylitis: a 2018 meta-analysis. Ann Rheum Dis. 2019;</w:t>
      </w:r>
      <w:proofErr w:type="gramStart"/>
      <w:r>
        <w:t>78:e</w:t>
      </w:r>
      <w:proofErr w:type="gramEnd"/>
      <w:r>
        <w:t>57.</w:t>
      </w:r>
    </w:p>
    <w:p w14:paraId="6DE73210" w14:textId="77777777" w:rsidR="00E674A9" w:rsidRDefault="00E674A9" w:rsidP="00E674A9">
      <w:pPr>
        <w:pStyle w:val="Biblio"/>
      </w:pPr>
      <w:proofErr w:type="spellStart"/>
      <w:r>
        <w:t>Papagoras</w:t>
      </w:r>
      <w:proofErr w:type="spellEnd"/>
      <w:r>
        <w:t xml:space="preserve"> C, </w:t>
      </w:r>
      <w:proofErr w:type="spellStart"/>
      <w:r>
        <w:t>Markatseli</w:t>
      </w:r>
      <w:proofErr w:type="spellEnd"/>
      <w:r>
        <w:t xml:space="preserve"> TE, </w:t>
      </w:r>
      <w:proofErr w:type="spellStart"/>
      <w:r>
        <w:t>Saougou</w:t>
      </w:r>
      <w:proofErr w:type="spellEnd"/>
      <w:r>
        <w:t xml:space="preserve"> I, </w:t>
      </w:r>
      <w:proofErr w:type="spellStart"/>
      <w:r>
        <w:t>Alamanos</w:t>
      </w:r>
      <w:proofErr w:type="spellEnd"/>
      <w:r>
        <w:t xml:space="preserve"> Y, </w:t>
      </w:r>
      <w:proofErr w:type="spellStart"/>
      <w:r>
        <w:t>Zikou</w:t>
      </w:r>
      <w:proofErr w:type="spellEnd"/>
      <w:r>
        <w:t xml:space="preserve"> AK, </w:t>
      </w:r>
      <w:proofErr w:type="spellStart"/>
      <w:r>
        <w:t>Voulgari</w:t>
      </w:r>
      <w:proofErr w:type="spellEnd"/>
      <w:r>
        <w:t xml:space="preserve"> PV, et al. Cardiovascular risk profile in patients with </w:t>
      </w:r>
      <w:proofErr w:type="spellStart"/>
      <w:r>
        <w:t>spondyloarthritis</w:t>
      </w:r>
      <w:proofErr w:type="spellEnd"/>
      <w:r>
        <w:t xml:space="preserve">. Joint Bone Spine. </w:t>
      </w:r>
      <w:proofErr w:type="gramStart"/>
      <w:r>
        <w:t>2014;81:57</w:t>
      </w:r>
      <w:proofErr w:type="gramEnd"/>
      <w:r>
        <w:t>-63.</w:t>
      </w:r>
    </w:p>
    <w:p w14:paraId="59788839" w14:textId="77777777" w:rsidR="00E674A9" w:rsidRDefault="00E674A9" w:rsidP="00E674A9">
      <w:pPr>
        <w:pStyle w:val="Biblio"/>
      </w:pPr>
      <w:r>
        <w:t xml:space="preserve">van der Linden S, van der Heijde D. Ankylosing spondylitis. Clinical features. Rheum Dis Clin North Am. </w:t>
      </w:r>
      <w:proofErr w:type="gramStart"/>
      <w:r>
        <w:t>1998;24:663</w:t>
      </w:r>
      <w:proofErr w:type="gramEnd"/>
      <w:r>
        <w:t>-76.</w:t>
      </w:r>
    </w:p>
    <w:p w14:paraId="000EC8A7" w14:textId="77777777" w:rsidR="00E674A9" w:rsidRDefault="00E674A9" w:rsidP="00E674A9">
      <w:pPr>
        <w:pStyle w:val="Biblio"/>
      </w:pPr>
      <w:proofErr w:type="spellStart"/>
      <w:r>
        <w:t>Sieper</w:t>
      </w:r>
      <w:proofErr w:type="spellEnd"/>
      <w:r>
        <w:t xml:space="preserve"> J, </w:t>
      </w:r>
      <w:proofErr w:type="spellStart"/>
      <w:r>
        <w:t>Poddubnyy</w:t>
      </w:r>
      <w:proofErr w:type="spellEnd"/>
      <w:r>
        <w:t xml:space="preserve"> D. Axial </w:t>
      </w:r>
      <w:proofErr w:type="spellStart"/>
      <w:r>
        <w:t>spondyloarthritis</w:t>
      </w:r>
      <w:proofErr w:type="spellEnd"/>
      <w:r>
        <w:t xml:space="preserve">. Lancet. </w:t>
      </w:r>
      <w:proofErr w:type="gramStart"/>
      <w:r>
        <w:t>2017;390:73</w:t>
      </w:r>
      <w:proofErr w:type="gramEnd"/>
      <w:r>
        <w:t>-84.</w:t>
      </w:r>
    </w:p>
    <w:p w14:paraId="52346F41" w14:textId="77777777" w:rsidR="00E674A9" w:rsidRDefault="00E674A9" w:rsidP="00E674A9">
      <w:pPr>
        <w:pStyle w:val="Biblio"/>
      </w:pPr>
      <w:r>
        <w:t xml:space="preserve">Smith JA, Colbert RA. Review: The interleukin-23/interleukin-17 axis in </w:t>
      </w:r>
      <w:proofErr w:type="spellStart"/>
      <w:r>
        <w:t>spondyloarthritis</w:t>
      </w:r>
      <w:proofErr w:type="spellEnd"/>
      <w:r>
        <w:t xml:space="preserve"> </w:t>
      </w:r>
      <w:proofErr w:type="gramStart"/>
      <w:r>
        <w:t>pathogenesis:Th</w:t>
      </w:r>
      <w:proofErr w:type="gramEnd"/>
      <w:r>
        <w:t xml:space="preserve">17 and beyond. Arthritis &amp;Rheumatology (Hoboken, NJ). </w:t>
      </w:r>
      <w:proofErr w:type="gramStart"/>
      <w:r>
        <w:t>2014;66:231</w:t>
      </w:r>
      <w:proofErr w:type="gramEnd"/>
      <w:r>
        <w:t>-41.</w:t>
      </w:r>
    </w:p>
    <w:p w14:paraId="409D007C" w14:textId="77777777" w:rsidR="00E674A9" w:rsidRDefault="00E674A9" w:rsidP="00E674A9">
      <w:pPr>
        <w:pStyle w:val="Biblio"/>
      </w:pPr>
      <w:r>
        <w:t xml:space="preserve">Raychaudhuri SP, Raychaudhuri SK. IL-23/IL-17 axis in </w:t>
      </w:r>
      <w:proofErr w:type="spellStart"/>
      <w:r>
        <w:t>spondyloarthritis</w:t>
      </w:r>
      <w:proofErr w:type="spellEnd"/>
      <w:r>
        <w:t xml:space="preserve">-bench to bedside. </w:t>
      </w:r>
      <w:proofErr w:type="spellStart"/>
      <w:r>
        <w:t>Clin</w:t>
      </w:r>
      <w:proofErr w:type="spellEnd"/>
      <w:r>
        <w:t xml:space="preserve"> </w:t>
      </w:r>
      <w:proofErr w:type="spellStart"/>
      <w:r>
        <w:t>Rheumatol</w:t>
      </w:r>
      <w:proofErr w:type="spellEnd"/>
      <w:r>
        <w:t xml:space="preserve">. </w:t>
      </w:r>
      <w:proofErr w:type="gramStart"/>
      <w:r>
        <w:t>2016;35:1437</w:t>
      </w:r>
      <w:proofErr w:type="gramEnd"/>
      <w:r>
        <w:t>-41.</w:t>
      </w:r>
    </w:p>
    <w:p w14:paraId="62285D6D" w14:textId="77777777" w:rsidR="00E674A9" w:rsidRDefault="00E674A9" w:rsidP="00E674A9">
      <w:pPr>
        <w:pStyle w:val="Biblio"/>
      </w:pPr>
      <w:proofErr w:type="spellStart"/>
      <w:r>
        <w:t>Bindesbøll</w:t>
      </w:r>
      <w:proofErr w:type="spellEnd"/>
      <w:r>
        <w:t xml:space="preserve"> C, </w:t>
      </w:r>
      <w:proofErr w:type="spellStart"/>
      <w:r>
        <w:t>Garrido-Cumbrera</w:t>
      </w:r>
      <w:proofErr w:type="spellEnd"/>
      <w:r>
        <w:t xml:space="preserve"> M, </w:t>
      </w:r>
      <w:proofErr w:type="spellStart"/>
      <w:r>
        <w:t>Bakland</w:t>
      </w:r>
      <w:proofErr w:type="spellEnd"/>
      <w:r>
        <w:t xml:space="preserve"> G, </w:t>
      </w:r>
      <w:proofErr w:type="spellStart"/>
      <w:r>
        <w:t>Dagfinrud</w:t>
      </w:r>
      <w:proofErr w:type="spellEnd"/>
      <w:r>
        <w:t xml:space="preserve"> H. Obesity increases disease activity of Norwegian patients with axial </w:t>
      </w:r>
      <w:proofErr w:type="spellStart"/>
      <w:r>
        <w:t>spondyloarthritis</w:t>
      </w:r>
      <w:proofErr w:type="spellEnd"/>
      <w:r>
        <w:t xml:space="preserve">: Results from the European map of axial </w:t>
      </w:r>
      <w:proofErr w:type="spellStart"/>
      <w:r>
        <w:t>spondyloarthritis</w:t>
      </w:r>
      <w:proofErr w:type="spellEnd"/>
      <w:r>
        <w:t xml:space="preserve"> survey. </w:t>
      </w:r>
      <w:proofErr w:type="spellStart"/>
      <w:r>
        <w:t>Curr</w:t>
      </w:r>
      <w:proofErr w:type="spellEnd"/>
      <w:r>
        <w:t xml:space="preserve"> </w:t>
      </w:r>
      <w:proofErr w:type="spellStart"/>
      <w:r>
        <w:t>Rheumatol</w:t>
      </w:r>
      <w:proofErr w:type="spellEnd"/>
      <w:r>
        <w:t xml:space="preserve"> Rep. </w:t>
      </w:r>
      <w:proofErr w:type="gramStart"/>
      <w:r>
        <w:t>2020;22:43</w:t>
      </w:r>
      <w:proofErr w:type="gramEnd"/>
      <w:r>
        <w:t xml:space="preserve">. </w:t>
      </w:r>
    </w:p>
    <w:p w14:paraId="41950A45" w14:textId="77777777" w:rsidR="00E674A9" w:rsidRDefault="00E674A9" w:rsidP="00E674A9">
      <w:pPr>
        <w:pStyle w:val="Biblio"/>
      </w:pPr>
      <w:r>
        <w:t xml:space="preserve">Cure E, </w:t>
      </w:r>
      <w:proofErr w:type="spellStart"/>
      <w:r>
        <w:t>Icli</w:t>
      </w:r>
      <w:proofErr w:type="spellEnd"/>
      <w:r>
        <w:t xml:space="preserve"> A, </w:t>
      </w:r>
      <w:proofErr w:type="spellStart"/>
      <w:r>
        <w:t>Uslu</w:t>
      </w:r>
      <w:proofErr w:type="spellEnd"/>
      <w:r>
        <w:t xml:space="preserve"> AU, </w:t>
      </w:r>
      <w:proofErr w:type="spellStart"/>
      <w:r>
        <w:t>Sakiz</w:t>
      </w:r>
      <w:proofErr w:type="spellEnd"/>
      <w:r>
        <w:t xml:space="preserve"> D, Cure MC, Baykara RA, et al. </w:t>
      </w:r>
      <w:proofErr w:type="spellStart"/>
      <w:r>
        <w:t>Atherogenic</w:t>
      </w:r>
      <w:proofErr w:type="spellEnd"/>
      <w:r>
        <w:t xml:space="preserve"> index of </w:t>
      </w:r>
      <w:proofErr w:type="spellStart"/>
      <w:proofErr w:type="gramStart"/>
      <w:r>
        <w:t>plasma:A</w:t>
      </w:r>
      <w:proofErr w:type="spellEnd"/>
      <w:proofErr w:type="gramEnd"/>
      <w:r>
        <w:t xml:space="preserve"> useful marker for subclinical atherosclerosis in ankylosing spondylitis :AIP associate with </w:t>
      </w:r>
      <w:proofErr w:type="spellStart"/>
      <w:r>
        <w:t>cIMT</w:t>
      </w:r>
      <w:proofErr w:type="spellEnd"/>
      <w:r>
        <w:t xml:space="preserve"> in AS. </w:t>
      </w:r>
      <w:proofErr w:type="spellStart"/>
      <w:r>
        <w:t>Clin</w:t>
      </w:r>
      <w:proofErr w:type="spellEnd"/>
      <w:r>
        <w:t xml:space="preserve"> </w:t>
      </w:r>
      <w:proofErr w:type="spellStart"/>
      <w:r>
        <w:t>Rheumatol</w:t>
      </w:r>
      <w:proofErr w:type="spellEnd"/>
      <w:r>
        <w:t xml:space="preserve">. </w:t>
      </w:r>
      <w:proofErr w:type="gramStart"/>
      <w:r>
        <w:t>2018;37:1273</w:t>
      </w:r>
      <w:proofErr w:type="gramEnd"/>
      <w:r>
        <w:t>-8.</w:t>
      </w:r>
    </w:p>
    <w:p w14:paraId="0DB7D395" w14:textId="77777777" w:rsidR="00E674A9" w:rsidRDefault="00E674A9" w:rsidP="00E674A9">
      <w:pPr>
        <w:pStyle w:val="Biblio"/>
      </w:pPr>
      <w:r>
        <w:t xml:space="preserve">Tecer D, </w:t>
      </w:r>
      <w:proofErr w:type="spellStart"/>
      <w:r>
        <w:t>Sunar</w:t>
      </w:r>
      <w:proofErr w:type="spellEnd"/>
      <w:r>
        <w:t xml:space="preserve"> I, </w:t>
      </w:r>
      <w:proofErr w:type="spellStart"/>
      <w:r>
        <w:t>Ozdemirel</w:t>
      </w:r>
      <w:proofErr w:type="spellEnd"/>
      <w:r>
        <w:t xml:space="preserve"> AE, </w:t>
      </w:r>
      <w:proofErr w:type="spellStart"/>
      <w:r>
        <w:t>Tural</w:t>
      </w:r>
      <w:proofErr w:type="spellEnd"/>
      <w:r>
        <w:t xml:space="preserve"> R, </w:t>
      </w:r>
      <w:proofErr w:type="spellStart"/>
      <w:r>
        <w:t>Kucuksahin</w:t>
      </w:r>
      <w:proofErr w:type="spellEnd"/>
      <w:r>
        <w:t xml:space="preserve"> O, </w:t>
      </w:r>
      <w:proofErr w:type="spellStart"/>
      <w:r>
        <w:t>Sepici</w:t>
      </w:r>
      <w:proofErr w:type="spellEnd"/>
      <w:r>
        <w:t xml:space="preserve"> </w:t>
      </w:r>
      <w:proofErr w:type="spellStart"/>
      <w:r>
        <w:t>Dincel</w:t>
      </w:r>
      <w:proofErr w:type="spellEnd"/>
      <w:r>
        <w:t xml:space="preserve"> A, et al. </w:t>
      </w:r>
      <w:proofErr w:type="spellStart"/>
      <w:r>
        <w:t>Usefullnes</w:t>
      </w:r>
      <w:proofErr w:type="spellEnd"/>
      <w:r>
        <w:t xml:space="preserve"> of </w:t>
      </w:r>
      <w:proofErr w:type="spellStart"/>
      <w:r>
        <w:t>atherogenic</w:t>
      </w:r>
      <w:proofErr w:type="spellEnd"/>
      <w:r>
        <w:t xml:space="preserve"> indices and Ca-LDL level to predict subclinical atherosclerosis in patients with psoriatic arthritis? </w:t>
      </w:r>
      <w:proofErr w:type="spellStart"/>
      <w:r>
        <w:t>Adv</w:t>
      </w:r>
      <w:proofErr w:type="spellEnd"/>
      <w:r>
        <w:t xml:space="preserve"> </w:t>
      </w:r>
      <w:proofErr w:type="spellStart"/>
      <w:r>
        <w:t>Rheumatol</w:t>
      </w:r>
      <w:proofErr w:type="spellEnd"/>
      <w:r>
        <w:t xml:space="preserve">. </w:t>
      </w:r>
      <w:proofErr w:type="gramStart"/>
      <w:r>
        <w:t>2019;59:49</w:t>
      </w:r>
      <w:proofErr w:type="gramEnd"/>
      <w:r>
        <w:t xml:space="preserve">. </w:t>
      </w:r>
    </w:p>
    <w:p w14:paraId="603CBECA" w14:textId="77777777" w:rsidR="00E674A9" w:rsidRDefault="00E674A9" w:rsidP="00E674A9">
      <w:pPr>
        <w:pStyle w:val="Biblio"/>
      </w:pPr>
      <w:proofErr w:type="spellStart"/>
      <w:r>
        <w:t>Dobiásová</w:t>
      </w:r>
      <w:proofErr w:type="spellEnd"/>
      <w:r>
        <w:t xml:space="preserve"> M, </w:t>
      </w:r>
      <w:proofErr w:type="spellStart"/>
      <w:r>
        <w:t>Frohlich</w:t>
      </w:r>
      <w:proofErr w:type="spellEnd"/>
      <w:r>
        <w:t xml:space="preserve"> J. The plasma parameter log (TG/HDL-C) as an </w:t>
      </w:r>
      <w:proofErr w:type="spellStart"/>
      <w:r>
        <w:t>atherogenic</w:t>
      </w:r>
      <w:proofErr w:type="spellEnd"/>
      <w:r>
        <w:t xml:space="preserve"> </w:t>
      </w:r>
      <w:proofErr w:type="spellStart"/>
      <w:proofErr w:type="gramStart"/>
      <w:r>
        <w:t>index:Correlation</w:t>
      </w:r>
      <w:proofErr w:type="spellEnd"/>
      <w:proofErr w:type="gramEnd"/>
      <w:r>
        <w:t xml:space="preserve"> with lipoprotein particle size and esterification rate in </w:t>
      </w:r>
      <w:proofErr w:type="spellStart"/>
      <w:r>
        <w:t>apoB</w:t>
      </w:r>
      <w:proofErr w:type="spellEnd"/>
      <w:r>
        <w:t xml:space="preserve">-lipoprotein-depleted plasma (FER (HDL)) </w:t>
      </w:r>
      <w:proofErr w:type="spellStart"/>
      <w:r>
        <w:t>Clin</w:t>
      </w:r>
      <w:proofErr w:type="spellEnd"/>
      <w:r>
        <w:t xml:space="preserve"> </w:t>
      </w:r>
      <w:proofErr w:type="spellStart"/>
      <w:r>
        <w:t>Biochem</w:t>
      </w:r>
      <w:proofErr w:type="spellEnd"/>
      <w:r>
        <w:t xml:space="preserve">. </w:t>
      </w:r>
      <w:proofErr w:type="gramStart"/>
      <w:r>
        <w:t>2001;34:583</w:t>
      </w:r>
      <w:proofErr w:type="gramEnd"/>
      <w:r>
        <w:t xml:space="preserve">-8. </w:t>
      </w:r>
    </w:p>
    <w:p w14:paraId="1570260D" w14:textId="77777777" w:rsidR="00E674A9" w:rsidRDefault="00E674A9" w:rsidP="00E674A9">
      <w:pPr>
        <w:pStyle w:val="Biblio"/>
      </w:pPr>
      <w:proofErr w:type="spellStart"/>
      <w:r>
        <w:t>Slouma</w:t>
      </w:r>
      <w:proofErr w:type="spellEnd"/>
      <w:r>
        <w:t xml:space="preserve"> M, </w:t>
      </w:r>
      <w:proofErr w:type="spellStart"/>
      <w:r>
        <w:t>Lahmer</w:t>
      </w:r>
      <w:proofErr w:type="spellEnd"/>
      <w:r>
        <w:t xml:space="preserve"> W, Kharrat L, Ali KB, </w:t>
      </w:r>
      <w:proofErr w:type="spellStart"/>
      <w:r>
        <w:t>Tezeghdenti</w:t>
      </w:r>
      <w:proofErr w:type="spellEnd"/>
      <w:r>
        <w:t xml:space="preserve"> A, </w:t>
      </w:r>
      <w:proofErr w:type="spellStart"/>
      <w:r>
        <w:t>Metoui</w:t>
      </w:r>
      <w:proofErr w:type="spellEnd"/>
      <w:r>
        <w:t xml:space="preserve"> L, et al. Obesity, lipid profile and cytokines in </w:t>
      </w:r>
      <w:proofErr w:type="spellStart"/>
      <w:r>
        <w:t>spondyloarthritis</w:t>
      </w:r>
      <w:proofErr w:type="spellEnd"/>
      <w:r>
        <w:t xml:space="preserve">. Indian J </w:t>
      </w:r>
      <w:proofErr w:type="spellStart"/>
      <w:r>
        <w:t>Endocrinol</w:t>
      </w:r>
      <w:proofErr w:type="spellEnd"/>
      <w:r>
        <w:t xml:space="preserve"> </w:t>
      </w:r>
      <w:proofErr w:type="spellStart"/>
      <w:r>
        <w:t>Metab</w:t>
      </w:r>
      <w:proofErr w:type="spellEnd"/>
      <w:r>
        <w:t xml:space="preserve">. </w:t>
      </w:r>
      <w:proofErr w:type="gramStart"/>
      <w:r>
        <w:t>2022;26:348</w:t>
      </w:r>
      <w:proofErr w:type="gramEnd"/>
      <w:r>
        <w:t xml:space="preserve">-53. </w:t>
      </w:r>
    </w:p>
    <w:p w14:paraId="0A706BF6" w14:textId="77777777" w:rsidR="00E674A9" w:rsidRDefault="00E674A9" w:rsidP="00E674A9">
      <w:pPr>
        <w:pStyle w:val="Biblio"/>
      </w:pPr>
      <w:r>
        <w:t xml:space="preserve">Fernández-Macías JC, Ochoa-Martínez AC, Varela-Silva JA, Pérez-Maldonado IN. Atherogenic index of plasma: Novel predictive biomarker for cardiovascular illnesses. Arch Med Res. </w:t>
      </w:r>
      <w:proofErr w:type="gramStart"/>
      <w:r>
        <w:t>2019;50:285</w:t>
      </w:r>
      <w:proofErr w:type="gramEnd"/>
      <w:r>
        <w:t xml:space="preserve">-94. </w:t>
      </w:r>
    </w:p>
    <w:p w14:paraId="15EA686E" w14:textId="77777777" w:rsidR="00E674A9" w:rsidRDefault="00E674A9" w:rsidP="00E674A9">
      <w:pPr>
        <w:pStyle w:val="Biblio"/>
      </w:pPr>
      <w:r>
        <w:t xml:space="preserve">Cure E, </w:t>
      </w:r>
      <w:proofErr w:type="spellStart"/>
      <w:r>
        <w:t>Icli</w:t>
      </w:r>
      <w:proofErr w:type="spellEnd"/>
      <w:r>
        <w:t xml:space="preserve"> A, </w:t>
      </w:r>
      <w:proofErr w:type="spellStart"/>
      <w:r>
        <w:t>Uslu</w:t>
      </w:r>
      <w:proofErr w:type="spellEnd"/>
      <w:r>
        <w:t xml:space="preserve"> AU, </w:t>
      </w:r>
      <w:proofErr w:type="spellStart"/>
      <w:r>
        <w:t>Sakiz</w:t>
      </w:r>
      <w:proofErr w:type="spellEnd"/>
      <w:r>
        <w:t xml:space="preserve"> D, Cure MC, Baykara RA, et al. Atherogenic index of plasma: a useful marker for subclinical atherosclerosis in ankylosing spondylitis: AIP associate with </w:t>
      </w:r>
      <w:proofErr w:type="spellStart"/>
      <w:r>
        <w:t>cIMT</w:t>
      </w:r>
      <w:proofErr w:type="spellEnd"/>
      <w:r>
        <w:t xml:space="preserve"> in AS. </w:t>
      </w:r>
      <w:proofErr w:type="spellStart"/>
      <w:r>
        <w:t>Clin</w:t>
      </w:r>
      <w:proofErr w:type="spellEnd"/>
      <w:r>
        <w:t xml:space="preserve"> </w:t>
      </w:r>
      <w:proofErr w:type="spellStart"/>
      <w:r>
        <w:t>Rheumatol</w:t>
      </w:r>
      <w:proofErr w:type="spellEnd"/>
      <w:r>
        <w:t xml:space="preserve">. </w:t>
      </w:r>
      <w:proofErr w:type="gramStart"/>
      <w:r>
        <w:t>2018;37:1273</w:t>
      </w:r>
      <w:proofErr w:type="gramEnd"/>
      <w:r>
        <w:t xml:space="preserve">-80. </w:t>
      </w:r>
    </w:p>
    <w:p w14:paraId="5CB4EFF1" w14:textId="77777777" w:rsidR="00E674A9" w:rsidRDefault="00E674A9" w:rsidP="00E674A9">
      <w:pPr>
        <w:pStyle w:val="Biblio"/>
      </w:pPr>
      <w:proofErr w:type="spellStart"/>
      <w:r>
        <w:t>Malesci</w:t>
      </w:r>
      <w:proofErr w:type="spellEnd"/>
      <w:r>
        <w:t xml:space="preserve"> D, </w:t>
      </w:r>
      <w:proofErr w:type="spellStart"/>
      <w:r>
        <w:t>Niglio</w:t>
      </w:r>
      <w:proofErr w:type="spellEnd"/>
      <w:r>
        <w:t xml:space="preserve"> A, Mennillo GA, Buono R, Valentini G, La Montagna G. High prevalence of </w:t>
      </w:r>
      <w:r>
        <w:lastRenderedPageBreak/>
        <w:t xml:space="preserve">metabolic syndrome in patients with ankylosing spondylitis. </w:t>
      </w:r>
      <w:proofErr w:type="spellStart"/>
      <w:r>
        <w:t>Clin</w:t>
      </w:r>
      <w:proofErr w:type="spellEnd"/>
      <w:r>
        <w:t xml:space="preserve"> </w:t>
      </w:r>
      <w:proofErr w:type="spellStart"/>
      <w:r>
        <w:t>Rheumatol</w:t>
      </w:r>
      <w:proofErr w:type="spellEnd"/>
      <w:r>
        <w:t xml:space="preserve">. </w:t>
      </w:r>
      <w:proofErr w:type="gramStart"/>
      <w:r>
        <w:t>2007;26:710</w:t>
      </w:r>
      <w:proofErr w:type="gramEnd"/>
      <w:r>
        <w:t>-4.</w:t>
      </w:r>
    </w:p>
    <w:p w14:paraId="2465E24B" w14:textId="77777777" w:rsidR="00E674A9" w:rsidRDefault="00E674A9" w:rsidP="00E674A9">
      <w:pPr>
        <w:pStyle w:val="Biblio"/>
      </w:pPr>
      <w:r>
        <w:t xml:space="preserve">Filho F, Santos AC, Silva LP, Skare MB. Lipid profile and anti-TNF-α use. Rev Bras </w:t>
      </w:r>
      <w:proofErr w:type="spellStart"/>
      <w:r>
        <w:t>Reumatol</w:t>
      </w:r>
      <w:proofErr w:type="spellEnd"/>
      <w:r>
        <w:t xml:space="preserve">. </w:t>
      </w:r>
      <w:proofErr w:type="gramStart"/>
      <w:r>
        <w:t>2013;53:444</w:t>
      </w:r>
      <w:proofErr w:type="gramEnd"/>
      <w:r>
        <w:t>-7.</w:t>
      </w:r>
    </w:p>
    <w:p w14:paraId="3B06AB06" w14:textId="73A726BE" w:rsidR="00534E7E" w:rsidRDefault="00E674A9" w:rsidP="00E674A9">
      <w:pPr>
        <w:pStyle w:val="Biblio"/>
      </w:pPr>
      <w:r>
        <w:t xml:space="preserve">Tecer D, </w:t>
      </w:r>
      <w:proofErr w:type="spellStart"/>
      <w:r>
        <w:t>Sunar</w:t>
      </w:r>
      <w:proofErr w:type="spellEnd"/>
      <w:r>
        <w:t xml:space="preserve"> I, </w:t>
      </w:r>
      <w:proofErr w:type="spellStart"/>
      <w:r>
        <w:t>Ozdemirel</w:t>
      </w:r>
      <w:proofErr w:type="spellEnd"/>
      <w:r>
        <w:t xml:space="preserve"> AE, </w:t>
      </w:r>
      <w:proofErr w:type="spellStart"/>
      <w:r>
        <w:t>Tural</w:t>
      </w:r>
      <w:proofErr w:type="spellEnd"/>
      <w:r>
        <w:t xml:space="preserve"> R, </w:t>
      </w:r>
      <w:proofErr w:type="spellStart"/>
      <w:r>
        <w:t>Kucuksahin</w:t>
      </w:r>
      <w:proofErr w:type="spellEnd"/>
      <w:r>
        <w:t xml:space="preserve"> O, </w:t>
      </w:r>
      <w:proofErr w:type="spellStart"/>
      <w:r>
        <w:t>Sepici</w:t>
      </w:r>
      <w:proofErr w:type="spellEnd"/>
      <w:r>
        <w:t xml:space="preserve"> </w:t>
      </w:r>
      <w:proofErr w:type="spellStart"/>
      <w:r>
        <w:t>Dincel</w:t>
      </w:r>
      <w:proofErr w:type="spellEnd"/>
      <w:r>
        <w:t xml:space="preserve"> A, et al. </w:t>
      </w:r>
      <w:proofErr w:type="spellStart"/>
      <w:r>
        <w:t>Usefullnes</w:t>
      </w:r>
      <w:proofErr w:type="spellEnd"/>
      <w:r>
        <w:t xml:space="preserve"> of </w:t>
      </w:r>
      <w:proofErr w:type="spellStart"/>
      <w:r>
        <w:t>atherogenic</w:t>
      </w:r>
      <w:proofErr w:type="spellEnd"/>
      <w:r>
        <w:t xml:space="preserve"> indices and Ca-LDL level to predict </w:t>
      </w:r>
      <w:r>
        <w:lastRenderedPageBreak/>
        <w:t xml:space="preserve">subclinical atherosclerosis in patients with psoriatic arthritis? </w:t>
      </w:r>
      <w:proofErr w:type="spellStart"/>
      <w:r>
        <w:t>Adv</w:t>
      </w:r>
      <w:proofErr w:type="spellEnd"/>
      <w:r>
        <w:t xml:space="preserve"> </w:t>
      </w:r>
      <w:proofErr w:type="spellStart"/>
      <w:r>
        <w:t>Rheumatol</w:t>
      </w:r>
      <w:proofErr w:type="spellEnd"/>
      <w:r>
        <w:t>. 2019;59</w:t>
      </w:r>
      <w:r w:rsidR="00534E7E">
        <w:t>.</w:t>
      </w:r>
    </w:p>
    <w:p w14:paraId="09DBC7F2" w14:textId="652BE06F" w:rsidR="000123A6" w:rsidRDefault="000123A6" w:rsidP="000123A6">
      <w:pPr>
        <w:pStyle w:val="Biblio"/>
        <w:numPr>
          <w:ilvl w:val="0"/>
          <w:numId w:val="0"/>
        </w:numPr>
        <w:ind w:left="426"/>
      </w:pPr>
    </w:p>
    <w:p w14:paraId="4F923C52" w14:textId="5F4DED05" w:rsidR="004B2662" w:rsidRDefault="00194F66" w:rsidP="004B2662">
      <w:pPr>
        <w:pStyle w:val="Biblio"/>
        <w:numPr>
          <w:ilvl w:val="0"/>
          <w:numId w:val="0"/>
        </w:numPr>
        <w:ind w:left="426" w:hanging="426"/>
      </w:pPr>
      <w:r>
        <w:rPr>
          <w:bCs w:val="0"/>
          <w:noProof/>
          <w:lang w:eastAsia="en-IN"/>
        </w:rPr>
        <mc:AlternateContent>
          <mc:Choice Requires="wps">
            <w:drawing>
              <wp:anchor distT="0" distB="0" distL="114300" distR="114300" simplePos="0" relativeHeight="251657728" behindDoc="0" locked="0" layoutInCell="1" allowOverlap="1" wp14:anchorId="106B1320" wp14:editId="368C6DD6">
                <wp:simplePos x="0" y="0"/>
                <wp:positionH relativeFrom="column">
                  <wp:align>left</wp:align>
                </wp:positionH>
                <wp:positionV relativeFrom="paragraph">
                  <wp:posOffset>132090</wp:posOffset>
                </wp:positionV>
                <wp:extent cx="2950845" cy="860961"/>
                <wp:effectExtent l="0" t="0" r="20955" b="158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845" cy="860961"/>
                        </a:xfrm>
                        <a:prstGeom prst="rect">
                          <a:avLst/>
                        </a:prstGeom>
                        <a:solidFill>
                          <a:schemeClr val="lt1"/>
                        </a:solidFill>
                        <a:ln w="12700" cap="sq" cmpd="sng">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506D3A33" w14:textId="38DAD091" w:rsidR="00AE5C8C" w:rsidRPr="00F82751" w:rsidRDefault="00AE5C8C" w:rsidP="00194F66">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r w:rsidR="00194F66" w:rsidRPr="00194F66">
                              <w:rPr>
                                <w:rFonts w:ascii="Times New Roman" w:hAnsi="Times New Roman"/>
                                <w:sz w:val="20"/>
                                <w:szCs w:val="20"/>
                                <w:lang w:eastAsia="en-IN"/>
                              </w:rPr>
                              <w:t>Joy D, Rajamurugan PSA, Ramesh R, Mythili S</w:t>
                            </w:r>
                            <w:r w:rsidRPr="00210551">
                              <w:rPr>
                                <w:rFonts w:ascii="Times New Roman" w:hAnsi="Times New Roman"/>
                                <w:sz w:val="20"/>
                                <w:szCs w:val="20"/>
                                <w:lang w:eastAsia="en-IN"/>
                              </w:rPr>
                              <w:t xml:space="preserve">. </w:t>
                            </w:r>
                            <w:r w:rsidR="00E674A9" w:rsidRPr="00E674A9">
                              <w:rPr>
                                <w:rFonts w:ascii="Times New Roman" w:hAnsi="Times New Roman"/>
                                <w:sz w:val="20"/>
                                <w:szCs w:val="20"/>
                                <w:lang w:eastAsia="en-IN"/>
                              </w:rPr>
                              <w:t xml:space="preserve">The use of </w:t>
                            </w:r>
                            <w:proofErr w:type="spellStart"/>
                            <w:r w:rsidR="00E674A9" w:rsidRPr="00E674A9">
                              <w:rPr>
                                <w:rFonts w:ascii="Times New Roman" w:hAnsi="Times New Roman"/>
                                <w:sz w:val="20"/>
                                <w:szCs w:val="20"/>
                                <w:lang w:eastAsia="en-IN"/>
                              </w:rPr>
                              <w:t>atherogenic</w:t>
                            </w:r>
                            <w:proofErr w:type="spellEnd"/>
                            <w:r w:rsidR="00E674A9" w:rsidRPr="00E674A9">
                              <w:rPr>
                                <w:rFonts w:ascii="Times New Roman" w:hAnsi="Times New Roman"/>
                                <w:sz w:val="20"/>
                                <w:szCs w:val="20"/>
                                <w:lang w:eastAsia="en-IN"/>
                              </w:rPr>
                              <w:t xml:space="preserve"> </w:t>
                            </w:r>
                            <w:proofErr w:type="spellStart"/>
                            <w:r w:rsidR="00E674A9" w:rsidRPr="00E674A9">
                              <w:rPr>
                                <w:rFonts w:ascii="Times New Roman" w:hAnsi="Times New Roman"/>
                                <w:sz w:val="20"/>
                                <w:szCs w:val="20"/>
                                <w:lang w:eastAsia="en-IN"/>
                              </w:rPr>
                              <w:t>ind</w:t>
                            </w:r>
                            <w:r w:rsidR="00362175">
                              <w:rPr>
                                <w:rFonts w:ascii="Times New Roman" w:hAnsi="Times New Roman"/>
                                <w:sz w:val="20"/>
                                <w:szCs w:val="20"/>
                                <w:lang w:eastAsia="en-IN"/>
                              </w:rPr>
                              <w:t>ics</w:t>
                            </w:r>
                            <w:proofErr w:type="spellEnd"/>
                            <w:r w:rsidR="00E674A9" w:rsidRPr="00E674A9">
                              <w:rPr>
                                <w:rFonts w:ascii="Times New Roman" w:hAnsi="Times New Roman"/>
                                <w:sz w:val="20"/>
                                <w:szCs w:val="20"/>
                                <w:lang w:eastAsia="en-IN"/>
                              </w:rPr>
                              <w:t xml:space="preserve"> as a useful marker to predict cardiovascular risk in patients with </w:t>
                            </w:r>
                            <w:proofErr w:type="spellStart"/>
                            <w:r w:rsidR="00E674A9" w:rsidRPr="00E674A9">
                              <w:rPr>
                                <w:rFonts w:ascii="Times New Roman" w:hAnsi="Times New Roman"/>
                                <w:sz w:val="20"/>
                                <w:szCs w:val="20"/>
                                <w:lang w:eastAsia="en-IN"/>
                              </w:rPr>
                              <w:t>spondyloarthritis</w:t>
                            </w:r>
                            <w:proofErr w:type="spellEnd"/>
                            <w:r w:rsidRPr="00210551">
                              <w:rPr>
                                <w:rFonts w:ascii="Times New Roman" w:hAnsi="Times New Roman"/>
                                <w:sz w:val="20"/>
                                <w:szCs w:val="20"/>
                                <w:lang w:eastAsia="en-IN"/>
                              </w:rPr>
                              <w:t xml:space="preserve">. Int J </w:t>
                            </w:r>
                            <w:proofErr w:type="spellStart"/>
                            <w:r w:rsidRPr="00210551">
                              <w:rPr>
                                <w:rFonts w:ascii="Times New Roman" w:hAnsi="Times New Roman"/>
                                <w:sz w:val="20"/>
                                <w:szCs w:val="20"/>
                                <w:lang w:eastAsia="en-IN"/>
                              </w:rPr>
                              <w:t>Adv</w:t>
                            </w:r>
                            <w:proofErr w:type="spellEnd"/>
                            <w:r w:rsidRPr="00210551">
                              <w:rPr>
                                <w:rFonts w:ascii="Times New Roman" w:hAnsi="Times New Roman"/>
                                <w:sz w:val="20"/>
                                <w:szCs w:val="20"/>
                                <w:lang w:eastAsia="en-IN"/>
                              </w:rPr>
                              <w:t xml:space="preserve"> Med </w:t>
                            </w:r>
                            <w:proofErr w:type="gramStart"/>
                            <w:r w:rsidRPr="00210551">
                              <w:rPr>
                                <w:rFonts w:ascii="Times New Roman" w:hAnsi="Times New Roman"/>
                                <w:sz w:val="20"/>
                                <w:szCs w:val="20"/>
                                <w:lang w:eastAsia="en-IN"/>
                              </w:rPr>
                              <w:t>202</w:t>
                            </w:r>
                            <w:r>
                              <w:rPr>
                                <w:rFonts w:ascii="Times New Roman" w:hAnsi="Times New Roman"/>
                                <w:sz w:val="20"/>
                                <w:szCs w:val="20"/>
                                <w:lang w:eastAsia="en-IN"/>
                              </w:rPr>
                              <w:t>3</w:t>
                            </w:r>
                            <w:r w:rsidRPr="00210551">
                              <w:rPr>
                                <w:rFonts w:ascii="Times New Roman" w:hAnsi="Times New Roman"/>
                                <w:sz w:val="20"/>
                                <w:szCs w:val="20"/>
                                <w:lang w:eastAsia="en-IN"/>
                              </w:rPr>
                              <w:t>;</w:t>
                            </w:r>
                            <w:r>
                              <w:rPr>
                                <w:rFonts w:ascii="Times New Roman" w:hAnsi="Times New Roman"/>
                                <w:sz w:val="20"/>
                                <w:szCs w:val="20"/>
                                <w:lang w:eastAsia="en-IN"/>
                              </w:rPr>
                              <w:t>10</w:t>
                            </w:r>
                            <w:r w:rsidRPr="00210551">
                              <w:rPr>
                                <w:rFonts w:ascii="Times New Roman" w:hAnsi="Times New Roman"/>
                                <w:sz w:val="20"/>
                                <w:szCs w:val="20"/>
                                <w:lang w:eastAsia="en-IN"/>
                              </w:rPr>
                              <w:t>:</w:t>
                            </w:r>
                            <w:r w:rsidR="00087ACE">
                              <w:rPr>
                                <w:rFonts w:ascii="Times New Roman" w:hAnsi="Times New Roman"/>
                                <w:sz w:val="20"/>
                                <w:szCs w:val="20"/>
                                <w:lang w:eastAsia="en-IN"/>
                              </w:rPr>
                              <w:t>770</w:t>
                            </w:r>
                            <w:proofErr w:type="gramEnd"/>
                            <w:r w:rsidR="00087ACE">
                              <w:rPr>
                                <w:rFonts w:ascii="Times New Roman" w:hAnsi="Times New Roman"/>
                                <w:sz w:val="20"/>
                                <w:szCs w:val="20"/>
                                <w:lang w:eastAsia="en-IN"/>
                              </w:rPr>
                              <w:t>-7</w:t>
                            </w:r>
                            <w:r w:rsidRPr="00F82751">
                              <w:rPr>
                                <w:rFonts w:ascii="Times New Roman" w:hAnsi="Times New Roman"/>
                                <w:sz w:val="20"/>
                                <w:szCs w:val="20"/>
                                <w:lang w:eastAsia="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B1320" id="Text Box 33" o:spid="_x0000_s1029" type="#_x0000_t202" style="position:absolute;left:0;text-align:left;margin-left:0;margin-top:10.4pt;width:232.35pt;height:67.8pt;z-index:251657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" fillcolor="white [3201]" strokecolor="#4f81bd [3204]" strokeweight="1pt">
                <v:stroke joinstyle="round" endcap="square"/>
                <v:path arrowok="t"/>
                <v:textbox>
                  <w:txbxContent>
                    <w:p w14:paraId="506D3A33" w14:textId="38DAD091" w:rsidR="00AE5C8C" w:rsidRPr="00F82751" w:rsidRDefault="00AE5C8C" w:rsidP="00194F66">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r w:rsidR="00194F66" w:rsidRPr="00194F66">
                        <w:rPr>
                          <w:rFonts w:ascii="Times New Roman" w:hAnsi="Times New Roman"/>
                          <w:sz w:val="20"/>
                          <w:szCs w:val="20"/>
                          <w:lang w:eastAsia="en-IN"/>
                        </w:rPr>
                        <w:t>Joy D, Rajamurugan PSA, Ramesh R, Mythili S</w:t>
                      </w:r>
                      <w:r w:rsidRPr="00210551">
                        <w:rPr>
                          <w:rFonts w:ascii="Times New Roman" w:hAnsi="Times New Roman"/>
                          <w:sz w:val="20"/>
                          <w:szCs w:val="20"/>
                          <w:lang w:eastAsia="en-IN"/>
                        </w:rPr>
                        <w:t xml:space="preserve">. </w:t>
                      </w:r>
                      <w:r w:rsidR="00E674A9" w:rsidRPr="00E674A9">
                        <w:rPr>
                          <w:rFonts w:ascii="Times New Roman" w:hAnsi="Times New Roman"/>
                          <w:sz w:val="20"/>
                          <w:szCs w:val="20"/>
                          <w:lang w:eastAsia="en-IN"/>
                        </w:rPr>
                        <w:t xml:space="preserve">The use of </w:t>
                      </w:r>
                      <w:proofErr w:type="spellStart"/>
                      <w:r w:rsidR="00E674A9" w:rsidRPr="00E674A9">
                        <w:rPr>
                          <w:rFonts w:ascii="Times New Roman" w:hAnsi="Times New Roman"/>
                          <w:sz w:val="20"/>
                          <w:szCs w:val="20"/>
                          <w:lang w:eastAsia="en-IN"/>
                        </w:rPr>
                        <w:t>atherogenic</w:t>
                      </w:r>
                      <w:proofErr w:type="spellEnd"/>
                      <w:r w:rsidR="00E674A9" w:rsidRPr="00E674A9">
                        <w:rPr>
                          <w:rFonts w:ascii="Times New Roman" w:hAnsi="Times New Roman"/>
                          <w:sz w:val="20"/>
                          <w:szCs w:val="20"/>
                          <w:lang w:eastAsia="en-IN"/>
                        </w:rPr>
                        <w:t xml:space="preserve"> </w:t>
                      </w:r>
                      <w:proofErr w:type="spellStart"/>
                      <w:r w:rsidR="00E674A9" w:rsidRPr="00E674A9">
                        <w:rPr>
                          <w:rFonts w:ascii="Times New Roman" w:hAnsi="Times New Roman"/>
                          <w:sz w:val="20"/>
                          <w:szCs w:val="20"/>
                          <w:lang w:eastAsia="en-IN"/>
                        </w:rPr>
                        <w:t>ind</w:t>
                      </w:r>
                      <w:r w:rsidR="00362175">
                        <w:rPr>
                          <w:rFonts w:ascii="Times New Roman" w:hAnsi="Times New Roman"/>
                          <w:sz w:val="20"/>
                          <w:szCs w:val="20"/>
                          <w:lang w:eastAsia="en-IN"/>
                        </w:rPr>
                        <w:t>ics</w:t>
                      </w:r>
                      <w:proofErr w:type="spellEnd"/>
                      <w:r w:rsidR="00E674A9" w:rsidRPr="00E674A9">
                        <w:rPr>
                          <w:rFonts w:ascii="Times New Roman" w:hAnsi="Times New Roman"/>
                          <w:sz w:val="20"/>
                          <w:szCs w:val="20"/>
                          <w:lang w:eastAsia="en-IN"/>
                        </w:rPr>
                        <w:t xml:space="preserve"> as a useful marker to predict cardiovascular risk in patients with </w:t>
                      </w:r>
                      <w:proofErr w:type="spellStart"/>
                      <w:r w:rsidR="00E674A9" w:rsidRPr="00E674A9">
                        <w:rPr>
                          <w:rFonts w:ascii="Times New Roman" w:hAnsi="Times New Roman"/>
                          <w:sz w:val="20"/>
                          <w:szCs w:val="20"/>
                          <w:lang w:eastAsia="en-IN"/>
                        </w:rPr>
                        <w:t>spondyloarthritis</w:t>
                      </w:r>
                      <w:proofErr w:type="spellEnd"/>
                      <w:r w:rsidRPr="00210551">
                        <w:rPr>
                          <w:rFonts w:ascii="Times New Roman" w:hAnsi="Times New Roman"/>
                          <w:sz w:val="20"/>
                          <w:szCs w:val="20"/>
                          <w:lang w:eastAsia="en-IN"/>
                        </w:rPr>
                        <w:t xml:space="preserve">. Int J </w:t>
                      </w:r>
                      <w:proofErr w:type="spellStart"/>
                      <w:r w:rsidRPr="00210551">
                        <w:rPr>
                          <w:rFonts w:ascii="Times New Roman" w:hAnsi="Times New Roman"/>
                          <w:sz w:val="20"/>
                          <w:szCs w:val="20"/>
                          <w:lang w:eastAsia="en-IN"/>
                        </w:rPr>
                        <w:t>Adv</w:t>
                      </w:r>
                      <w:proofErr w:type="spellEnd"/>
                      <w:r w:rsidRPr="00210551">
                        <w:rPr>
                          <w:rFonts w:ascii="Times New Roman" w:hAnsi="Times New Roman"/>
                          <w:sz w:val="20"/>
                          <w:szCs w:val="20"/>
                          <w:lang w:eastAsia="en-IN"/>
                        </w:rPr>
                        <w:t xml:space="preserve"> Med </w:t>
                      </w:r>
                      <w:proofErr w:type="gramStart"/>
                      <w:r w:rsidRPr="00210551">
                        <w:rPr>
                          <w:rFonts w:ascii="Times New Roman" w:hAnsi="Times New Roman"/>
                          <w:sz w:val="20"/>
                          <w:szCs w:val="20"/>
                          <w:lang w:eastAsia="en-IN"/>
                        </w:rPr>
                        <w:t>202</w:t>
                      </w:r>
                      <w:r>
                        <w:rPr>
                          <w:rFonts w:ascii="Times New Roman" w:hAnsi="Times New Roman"/>
                          <w:sz w:val="20"/>
                          <w:szCs w:val="20"/>
                          <w:lang w:eastAsia="en-IN"/>
                        </w:rPr>
                        <w:t>3</w:t>
                      </w:r>
                      <w:r w:rsidRPr="00210551">
                        <w:rPr>
                          <w:rFonts w:ascii="Times New Roman" w:hAnsi="Times New Roman"/>
                          <w:sz w:val="20"/>
                          <w:szCs w:val="20"/>
                          <w:lang w:eastAsia="en-IN"/>
                        </w:rPr>
                        <w:t>;</w:t>
                      </w:r>
                      <w:r>
                        <w:rPr>
                          <w:rFonts w:ascii="Times New Roman" w:hAnsi="Times New Roman"/>
                          <w:sz w:val="20"/>
                          <w:szCs w:val="20"/>
                          <w:lang w:eastAsia="en-IN"/>
                        </w:rPr>
                        <w:t>10</w:t>
                      </w:r>
                      <w:r w:rsidRPr="00210551">
                        <w:rPr>
                          <w:rFonts w:ascii="Times New Roman" w:hAnsi="Times New Roman"/>
                          <w:sz w:val="20"/>
                          <w:szCs w:val="20"/>
                          <w:lang w:eastAsia="en-IN"/>
                        </w:rPr>
                        <w:t>:</w:t>
                      </w:r>
                      <w:r w:rsidR="00087ACE">
                        <w:rPr>
                          <w:rFonts w:ascii="Times New Roman" w:hAnsi="Times New Roman"/>
                          <w:sz w:val="20"/>
                          <w:szCs w:val="20"/>
                          <w:lang w:eastAsia="en-IN"/>
                        </w:rPr>
                        <w:t>770</w:t>
                      </w:r>
                      <w:proofErr w:type="gramEnd"/>
                      <w:r w:rsidR="00087ACE">
                        <w:rPr>
                          <w:rFonts w:ascii="Times New Roman" w:hAnsi="Times New Roman"/>
                          <w:sz w:val="20"/>
                          <w:szCs w:val="20"/>
                          <w:lang w:eastAsia="en-IN"/>
                        </w:rPr>
                        <w:t>-7</w:t>
                      </w:r>
                      <w:r w:rsidRPr="00F82751">
                        <w:rPr>
                          <w:rFonts w:ascii="Times New Roman" w:hAnsi="Times New Roman"/>
                          <w:sz w:val="20"/>
                          <w:szCs w:val="20"/>
                          <w:lang w:eastAsia="en-IN"/>
                        </w:rPr>
                        <w:t>.</w:t>
                      </w:r>
                    </w:p>
                  </w:txbxContent>
                </v:textbox>
              </v:shape>
            </w:pict>
          </mc:Fallback>
        </mc:AlternateContent>
      </w:r>
    </w:p>
    <w:p w14:paraId="3820F27A" w14:textId="1B5980D2" w:rsidR="004B2662" w:rsidRDefault="004B2662" w:rsidP="004B2662">
      <w:pPr>
        <w:pStyle w:val="Biblio"/>
        <w:numPr>
          <w:ilvl w:val="0"/>
          <w:numId w:val="0"/>
        </w:numPr>
        <w:ind w:left="426" w:hanging="426"/>
      </w:pPr>
    </w:p>
    <w:p w14:paraId="6303003E" w14:textId="77777777" w:rsidR="00411ECD" w:rsidRDefault="00411ECD" w:rsidP="00BA48DB">
      <w:pPr>
        <w:pStyle w:val="Biblio"/>
        <w:numPr>
          <w:ilvl w:val="0"/>
          <w:numId w:val="0"/>
        </w:numPr>
      </w:pPr>
    </w:p>
    <w:p w14:paraId="052D4722" w14:textId="77777777" w:rsidR="0041200B" w:rsidRDefault="0041200B" w:rsidP="00AC554F">
      <w:pPr>
        <w:pStyle w:val="Biblio"/>
        <w:numPr>
          <w:ilvl w:val="0"/>
          <w:numId w:val="0"/>
        </w:numPr>
        <w:ind w:left="426"/>
      </w:pPr>
    </w:p>
    <w:p w14:paraId="350E9973" w14:textId="77777777" w:rsidR="0041200B" w:rsidRDefault="0041200B" w:rsidP="00097284">
      <w:pPr>
        <w:pStyle w:val="Biblio"/>
        <w:numPr>
          <w:ilvl w:val="0"/>
          <w:numId w:val="0"/>
        </w:numPr>
        <w:ind w:left="426" w:hanging="426"/>
      </w:pPr>
    </w:p>
    <w:p w14:paraId="0C21B02A" w14:textId="77777777" w:rsidR="00A91232" w:rsidRDefault="00A91232" w:rsidP="00D04249">
      <w:pPr>
        <w:spacing w:after="0" w:line="240" w:lineRule="auto"/>
        <w:jc w:val="both"/>
        <w:rPr>
          <w:rFonts w:ascii="Times New Roman" w:hAnsi="Times New Roman"/>
          <w:bCs/>
          <w:sz w:val="20"/>
          <w:szCs w:val="20"/>
        </w:rPr>
      </w:pPr>
    </w:p>
    <w:p w14:paraId="036FF781" w14:textId="77777777" w:rsidR="00A91232" w:rsidRDefault="00A91232" w:rsidP="00D04249">
      <w:pPr>
        <w:spacing w:after="0" w:line="240" w:lineRule="auto"/>
        <w:jc w:val="both"/>
        <w:rPr>
          <w:rFonts w:ascii="Times New Roman" w:hAnsi="Times New Roman"/>
          <w:bCs/>
          <w:sz w:val="20"/>
          <w:szCs w:val="20"/>
        </w:rPr>
        <w:sectPr w:rsidR="00A91232" w:rsidSect="00DD2FF9">
          <w:type w:val="continuous"/>
          <w:pgSz w:w="11906" w:h="16838" w:code="9"/>
          <w:pgMar w:top="1440" w:right="1021" w:bottom="1440" w:left="1021" w:header="709" w:footer="709" w:gutter="0"/>
          <w:cols w:num="2" w:space="567"/>
          <w:titlePg/>
          <w:docGrid w:linePitch="360"/>
        </w:sectPr>
      </w:pPr>
    </w:p>
    <w:p w14:paraId="7976C4D6" w14:textId="28B5E208" w:rsidR="00D04249" w:rsidRDefault="00D04249" w:rsidP="00211E5E">
      <w:pPr>
        <w:tabs>
          <w:tab w:val="left" w:pos="8145"/>
        </w:tabs>
        <w:rPr>
          <w:rFonts w:ascii="Times New Roman" w:hAnsi="Times New Roman"/>
          <w:bCs/>
          <w:sz w:val="20"/>
          <w:szCs w:val="20"/>
        </w:rPr>
      </w:pPr>
    </w:p>
    <w:p w14:paraId="54EE0A93" w14:textId="0FE96694" w:rsidR="00E674A9" w:rsidRPr="00CC54FB" w:rsidRDefault="00E674A9" w:rsidP="00E674A9">
      <w:pPr>
        <w:pStyle w:val="AT"/>
        <w:rPr>
          <w:lang w:val="en-IN"/>
        </w:rPr>
      </w:pPr>
    </w:p>
    <w:sectPr w:rsidR="00E674A9" w:rsidRPr="00CC54FB" w:rsidSect="00D04249">
      <w:type w:val="continuous"/>
      <w:pgSz w:w="11906" w:h="16838" w:code="9"/>
      <w:pgMar w:top="1440" w:right="1021" w:bottom="1440" w:left="102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774BF" w14:textId="77777777" w:rsidR="00044614" w:rsidRDefault="00044614" w:rsidP="00E739F8">
      <w:pPr>
        <w:spacing w:after="0" w:line="240" w:lineRule="auto"/>
      </w:pPr>
      <w:r>
        <w:separator/>
      </w:r>
    </w:p>
  </w:endnote>
  <w:endnote w:type="continuationSeparator" w:id="0">
    <w:p w14:paraId="66115AF2" w14:textId="77777777" w:rsidR="00044614" w:rsidRDefault="00044614" w:rsidP="00E7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C72D" w14:textId="77777777" w:rsidR="00AE5C8C" w:rsidRDefault="00AE5C8C" w:rsidP="00C23FCF">
    <w:pPr>
      <w:pStyle w:val="Footer"/>
    </w:pPr>
    <w:r>
      <w:rPr>
        <w:rFonts w:ascii="Times New Roman" w:hAnsi="Times New Roman"/>
        <w:sz w:val="18"/>
        <w:szCs w:val="18"/>
      </w:rPr>
      <w:t xml:space="preserve">4 </w:t>
    </w:r>
    <w:r w:rsidRPr="001F5319">
      <w:rPr>
        <w:rFonts w:ascii="Times New Roman" w:hAnsi="Times New Roman"/>
        <w:sz w:val="18"/>
        <w:szCs w:val="18"/>
      </w:rPr>
      <w:t>International Journal of Basic &amp; Clinical Pharmacology | August 2012 | Vol 1 | Issue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377661"/>
      <w:docPartObj>
        <w:docPartGallery w:val="Page Numbers (Bottom of Page)"/>
        <w:docPartUnique/>
      </w:docPartObj>
    </w:sdtPr>
    <w:sdtEndPr>
      <w:rPr>
        <w:rFonts w:ascii="Times New Roman" w:hAnsi="Times New Roman"/>
        <w:noProof/>
        <w:sz w:val="18"/>
        <w:szCs w:val="18"/>
      </w:rPr>
    </w:sdtEndPr>
    <w:sdtContent>
      <w:p w14:paraId="7895EE35" w14:textId="329EB33D" w:rsidR="00AE5C8C" w:rsidRPr="001505C3" w:rsidRDefault="00AE5C8C" w:rsidP="001505C3">
        <w:pPr>
          <w:pStyle w:val="Footer"/>
          <w:jc w:val="right"/>
          <w:rPr>
            <w:rFonts w:ascii="Times New Roman" w:hAnsi="Times New Roman"/>
            <w:sz w:val="18"/>
            <w:szCs w:val="18"/>
          </w:rPr>
        </w:pPr>
        <w:r>
          <w:rPr>
            <w:rFonts w:ascii="Times New Roman" w:hAnsi="Times New Roman"/>
            <w:sz w:val="18"/>
            <w:szCs w:val="18"/>
          </w:rPr>
          <w:t xml:space="preserve">                                                                   International </w:t>
        </w:r>
        <w:r w:rsidRPr="00FA0C6C">
          <w:rPr>
            <w:rFonts w:ascii="Times New Roman" w:hAnsi="Times New Roman"/>
            <w:sz w:val="18"/>
            <w:szCs w:val="18"/>
          </w:rPr>
          <w:t xml:space="preserve">Journal of </w:t>
        </w:r>
        <w:r w:rsidRPr="00235B4A">
          <w:rPr>
            <w:rFonts w:ascii="Times New Roman" w:hAnsi="Times New Roman"/>
            <w:sz w:val="18"/>
            <w:szCs w:val="18"/>
          </w:rPr>
          <w:t>Advances in Medicine</w:t>
        </w:r>
        <w:r w:rsidRPr="00D906C6">
          <w:rPr>
            <w:rFonts w:ascii="Times New Roman" w:hAnsi="Times New Roman"/>
            <w:sz w:val="18"/>
            <w:szCs w:val="18"/>
          </w:rPr>
          <w:t xml:space="preserve"> </w:t>
        </w:r>
        <w:r>
          <w:rPr>
            <w:rFonts w:ascii="Times New Roman" w:hAnsi="Times New Roman"/>
            <w:sz w:val="18"/>
            <w:szCs w:val="18"/>
          </w:rPr>
          <w:t xml:space="preserve">| November </w:t>
        </w:r>
        <w:r w:rsidRPr="00350F12">
          <w:rPr>
            <w:rFonts w:ascii="Times New Roman" w:hAnsi="Times New Roman"/>
            <w:sz w:val="18"/>
            <w:szCs w:val="18"/>
          </w:rPr>
          <w:t>20</w:t>
        </w:r>
        <w:r>
          <w:rPr>
            <w:rFonts w:ascii="Times New Roman" w:hAnsi="Times New Roman"/>
            <w:sz w:val="18"/>
            <w:szCs w:val="18"/>
          </w:rPr>
          <w:t>23</w:t>
        </w:r>
        <w:r w:rsidRPr="00350F12">
          <w:rPr>
            <w:rFonts w:ascii="Times New Roman" w:hAnsi="Times New Roman"/>
            <w:sz w:val="18"/>
            <w:szCs w:val="18"/>
          </w:rPr>
          <w:t xml:space="preserve"> | Vol </w:t>
        </w:r>
        <w:r>
          <w:rPr>
            <w:rFonts w:ascii="Times New Roman" w:hAnsi="Times New Roman"/>
            <w:sz w:val="18"/>
            <w:szCs w:val="18"/>
          </w:rPr>
          <w:t xml:space="preserve">10 | Issue 11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087ACE">
          <w:rPr>
            <w:rFonts w:ascii="Times New Roman" w:hAnsi="Times New Roman"/>
            <w:noProof/>
            <w:sz w:val="18"/>
            <w:szCs w:val="18"/>
          </w:rPr>
          <w:t>777</w:t>
        </w:r>
        <w:r w:rsidRPr="008578B2">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80672"/>
      <w:docPartObj>
        <w:docPartGallery w:val="Page Numbers (Bottom of Page)"/>
        <w:docPartUnique/>
      </w:docPartObj>
    </w:sdtPr>
    <w:sdtEndPr>
      <w:rPr>
        <w:rFonts w:ascii="Times New Roman" w:hAnsi="Times New Roman"/>
        <w:noProof/>
        <w:sz w:val="18"/>
        <w:szCs w:val="18"/>
      </w:rPr>
    </w:sdtEndPr>
    <w:sdtContent>
      <w:p w14:paraId="02CA04D4" w14:textId="353C8A15" w:rsidR="00AE5C8C" w:rsidRPr="009B75D9" w:rsidRDefault="00AE5C8C" w:rsidP="00AC254A">
        <w:pPr>
          <w:pStyle w:val="Footer"/>
          <w:jc w:val="right"/>
          <w:rPr>
            <w:rFonts w:ascii="Times New Roman" w:hAnsi="Times New Roman"/>
            <w:sz w:val="18"/>
            <w:szCs w:val="18"/>
          </w:rPr>
        </w:pPr>
        <w:r>
          <w:rPr>
            <w:rFonts w:ascii="Times New Roman" w:hAnsi="Times New Roman"/>
            <w:sz w:val="18"/>
            <w:szCs w:val="18"/>
          </w:rPr>
          <w:t xml:space="preserve">                                                                   International </w:t>
        </w:r>
        <w:r w:rsidRPr="00FA0C6C">
          <w:rPr>
            <w:rFonts w:ascii="Times New Roman" w:hAnsi="Times New Roman"/>
            <w:sz w:val="18"/>
            <w:szCs w:val="18"/>
          </w:rPr>
          <w:t xml:space="preserve">Journal of </w:t>
        </w:r>
        <w:r w:rsidRPr="00235B4A">
          <w:rPr>
            <w:rFonts w:ascii="Times New Roman" w:hAnsi="Times New Roman"/>
            <w:sz w:val="18"/>
            <w:szCs w:val="18"/>
          </w:rPr>
          <w:t>Advances in Medicine</w:t>
        </w:r>
        <w:r w:rsidRPr="00D906C6">
          <w:rPr>
            <w:rFonts w:ascii="Times New Roman" w:hAnsi="Times New Roman"/>
            <w:sz w:val="18"/>
            <w:szCs w:val="18"/>
          </w:rPr>
          <w:t xml:space="preserve"> </w:t>
        </w:r>
        <w:r>
          <w:rPr>
            <w:rFonts w:ascii="Times New Roman" w:hAnsi="Times New Roman"/>
            <w:sz w:val="18"/>
            <w:szCs w:val="18"/>
          </w:rPr>
          <w:t xml:space="preserve">| November </w:t>
        </w:r>
        <w:r w:rsidRPr="00350F12">
          <w:rPr>
            <w:rFonts w:ascii="Times New Roman" w:hAnsi="Times New Roman"/>
            <w:sz w:val="18"/>
            <w:szCs w:val="18"/>
          </w:rPr>
          <w:t>20</w:t>
        </w:r>
        <w:r>
          <w:rPr>
            <w:rFonts w:ascii="Times New Roman" w:hAnsi="Times New Roman"/>
            <w:sz w:val="18"/>
            <w:szCs w:val="18"/>
          </w:rPr>
          <w:t>23</w:t>
        </w:r>
        <w:r w:rsidRPr="00350F12">
          <w:rPr>
            <w:rFonts w:ascii="Times New Roman" w:hAnsi="Times New Roman"/>
            <w:sz w:val="18"/>
            <w:szCs w:val="18"/>
          </w:rPr>
          <w:t xml:space="preserve"> | Vol </w:t>
        </w:r>
        <w:r>
          <w:rPr>
            <w:rFonts w:ascii="Times New Roman" w:hAnsi="Times New Roman"/>
            <w:sz w:val="18"/>
            <w:szCs w:val="18"/>
          </w:rPr>
          <w:t xml:space="preserve">10 | Issue 11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087ACE">
          <w:rPr>
            <w:rFonts w:ascii="Times New Roman" w:hAnsi="Times New Roman"/>
            <w:noProof/>
            <w:sz w:val="18"/>
            <w:szCs w:val="18"/>
          </w:rPr>
          <w:t>770</w:t>
        </w:r>
        <w:r w:rsidRPr="008578B2">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CE9C1" w14:textId="77777777" w:rsidR="00044614" w:rsidRDefault="00044614" w:rsidP="00E739F8">
      <w:pPr>
        <w:spacing w:after="0" w:line="240" w:lineRule="auto"/>
      </w:pPr>
      <w:r>
        <w:separator/>
      </w:r>
    </w:p>
  </w:footnote>
  <w:footnote w:type="continuationSeparator" w:id="0">
    <w:p w14:paraId="455D2169" w14:textId="77777777" w:rsidR="00044614" w:rsidRDefault="00044614" w:rsidP="00E7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0779" w14:textId="15E1B4AA" w:rsidR="00AE5C8C" w:rsidRPr="00190FBA" w:rsidRDefault="00194F66" w:rsidP="00190FBA">
    <w:pPr>
      <w:pStyle w:val="Header"/>
      <w:jc w:val="center"/>
      <w:rPr>
        <w:rFonts w:ascii="Times New Roman" w:hAnsi="Times New Roman"/>
        <w:i/>
        <w:sz w:val="18"/>
        <w:szCs w:val="18"/>
      </w:rPr>
    </w:pPr>
    <w:r w:rsidRPr="00194F66">
      <w:rPr>
        <w:rFonts w:ascii="Times New Roman" w:hAnsi="Times New Roman"/>
        <w:i/>
        <w:sz w:val="18"/>
        <w:szCs w:val="18"/>
      </w:rPr>
      <w:t xml:space="preserve">Joy D </w:t>
    </w:r>
    <w:r w:rsidR="00AE5C8C" w:rsidRPr="009B4486">
      <w:rPr>
        <w:rFonts w:ascii="Times New Roman" w:hAnsi="Times New Roman"/>
        <w:i/>
        <w:sz w:val="18"/>
        <w:szCs w:val="18"/>
      </w:rPr>
      <w:t xml:space="preserve">et al. Int J Adv Med. </w:t>
    </w:r>
    <w:r w:rsidR="00AE5C8C">
      <w:rPr>
        <w:rFonts w:ascii="Times New Roman" w:hAnsi="Times New Roman"/>
        <w:i/>
        <w:sz w:val="18"/>
        <w:szCs w:val="18"/>
      </w:rPr>
      <w:t>2023 Nov;10(11):</w:t>
    </w:r>
    <w:r w:rsidR="00087ACE">
      <w:rPr>
        <w:rFonts w:ascii="Times New Roman" w:hAnsi="Times New Roman"/>
        <w:i/>
        <w:sz w:val="18"/>
        <w:szCs w:val="18"/>
      </w:rPr>
      <w:t>770-777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BE01" w14:textId="77777777" w:rsidR="00AE5C8C" w:rsidRPr="00BE162F" w:rsidRDefault="00AE5C8C" w:rsidP="00BE162F">
    <w:pPr>
      <w:pStyle w:val="Header"/>
    </w:pPr>
    <w:r>
      <w:rPr>
        <w:noProof/>
        <w:lang w:eastAsia="en-IN"/>
      </w:rPr>
      <mc:AlternateContent>
        <mc:Choice Requires="wps">
          <w:drawing>
            <wp:anchor distT="0" distB="0" distL="114300" distR="114300" simplePos="0" relativeHeight="251661312" behindDoc="0" locked="0" layoutInCell="1" allowOverlap="1" wp14:anchorId="098A1E99" wp14:editId="12C47CB9">
              <wp:simplePos x="0" y="0"/>
              <wp:positionH relativeFrom="column">
                <wp:posOffset>4196411</wp:posOffset>
              </wp:positionH>
              <wp:positionV relativeFrom="paragraph">
                <wp:posOffset>160655</wp:posOffset>
              </wp:positionV>
              <wp:extent cx="1965960" cy="279400"/>
              <wp:effectExtent l="0" t="0" r="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DC6B4" w14:textId="77777777" w:rsidR="00AE5C8C" w:rsidRPr="00875E19" w:rsidRDefault="00AE5C8C" w:rsidP="00235B4A">
                          <w:pPr>
                            <w:spacing w:after="0" w:line="240" w:lineRule="auto"/>
                            <w:rPr>
                              <w:rFonts w:ascii="Times New Roman" w:hAnsi="Times New Roman"/>
                              <w:sz w:val="18"/>
                              <w:szCs w:val="16"/>
                            </w:rPr>
                          </w:pPr>
                          <w:r>
                            <w:rPr>
                              <w:rFonts w:ascii="Times New Roman" w:hAnsi="Times New Roman"/>
                              <w:sz w:val="18"/>
                              <w:szCs w:val="16"/>
                            </w:rPr>
                            <w:t xml:space="preserve"> </w:t>
                          </w:r>
                          <w:proofErr w:type="spellStart"/>
                          <w:r w:rsidRPr="00875E19">
                            <w:rPr>
                              <w:rFonts w:ascii="Times New Roman" w:hAnsi="Times New Roman"/>
                              <w:sz w:val="18"/>
                              <w:szCs w:val="16"/>
                            </w:rPr>
                            <w:t>pISSN</w:t>
                          </w:r>
                          <w:proofErr w:type="spellEnd"/>
                          <w:r>
                            <w:rPr>
                              <w:rFonts w:ascii="Times New Roman" w:hAnsi="Times New Roman"/>
                              <w:sz w:val="18"/>
                              <w:szCs w:val="16"/>
                            </w:rPr>
                            <w:t xml:space="preserve"> </w:t>
                          </w:r>
                          <w:r w:rsidRPr="00556516">
                            <w:rPr>
                              <w:rFonts w:ascii="Times New Roman" w:hAnsi="Times New Roman"/>
                              <w:bCs/>
                              <w:sz w:val="18"/>
                              <w:szCs w:val="16"/>
                            </w:rPr>
                            <w:t>2349-</w:t>
                          </w:r>
                          <w:r w:rsidRPr="0042086F">
                            <w:rPr>
                              <w:rFonts w:ascii="Times New Roman" w:hAnsi="Times New Roman"/>
                              <w:bCs/>
                              <w:sz w:val="18"/>
                              <w:szCs w:val="16"/>
                            </w:rPr>
                            <w:t>3925</w:t>
                          </w:r>
                          <w:r w:rsidRPr="00875E19">
                            <w:rPr>
                              <w:rFonts w:ascii="Times New Roman" w:hAnsi="Times New Roman"/>
                              <w:sz w:val="18"/>
                              <w:szCs w:val="16"/>
                            </w:rPr>
                            <w:t xml:space="preserve"> | </w:t>
                          </w:r>
                          <w:proofErr w:type="spellStart"/>
                          <w:r w:rsidRPr="00875E19">
                            <w:rPr>
                              <w:rFonts w:ascii="Times New Roman" w:hAnsi="Times New Roman"/>
                              <w:sz w:val="18"/>
                              <w:szCs w:val="16"/>
                            </w:rPr>
                            <w:t>eISSN</w:t>
                          </w:r>
                          <w:proofErr w:type="spellEnd"/>
                          <w:r w:rsidRPr="00875E19">
                            <w:rPr>
                              <w:rFonts w:ascii="Times New Roman" w:hAnsi="Times New Roman"/>
                              <w:sz w:val="18"/>
                              <w:szCs w:val="16"/>
                            </w:rPr>
                            <w:t xml:space="preserve"> </w:t>
                          </w:r>
                          <w:r>
                            <w:rPr>
                              <w:rFonts w:ascii="Times New Roman" w:hAnsi="Times New Roman"/>
                              <w:sz w:val="18"/>
                              <w:szCs w:val="16"/>
                            </w:rPr>
                            <w:t>2349-</w:t>
                          </w:r>
                          <w:r w:rsidRPr="0042086F">
                            <w:rPr>
                              <w:rFonts w:ascii="Times New Roman" w:hAnsi="Times New Roman"/>
                              <w:sz w:val="18"/>
                              <w:szCs w:val="16"/>
                            </w:rPr>
                            <w:t>3933</w:t>
                          </w:r>
                        </w:p>
                        <w:p w14:paraId="7418CEFD" w14:textId="744CD143" w:rsidR="00AE5C8C" w:rsidRPr="00875E19" w:rsidRDefault="00AE5C8C" w:rsidP="00265E19">
                          <w:pPr>
                            <w:rPr>
                              <w:rFonts w:ascii="Times New Roman" w:hAnsi="Times New Roman"/>
                              <w:sz w:val="18"/>
                              <w:szCs w:val="16"/>
                            </w:rPr>
                          </w:pPr>
                        </w:p>
                        <w:p w14:paraId="76C9C7FA" w14:textId="77777777" w:rsidR="00AE5C8C" w:rsidRPr="00875E19" w:rsidRDefault="00AE5C8C" w:rsidP="004B2662">
                          <w:pPr>
                            <w:spacing w:after="0" w:line="240" w:lineRule="auto"/>
                            <w:rPr>
                              <w:rFonts w:ascii="Times New Roman" w:hAnsi="Times New Roman"/>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8A1E99" id="_x0000_t202" coordsize="21600,21600" o:spt="202" path="m,l,21600r21600,l21600,xe">
              <v:stroke joinstyle="miter"/>
              <v:path gradientshapeok="t" o:connecttype="rect"/>
            </v:shapetype>
            <v:shape id="Text Box 8" o:spid="_x0000_s1030" type="#_x0000_t202" style="position:absolute;margin-left:330.45pt;margin-top:12.65pt;width:154.8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" fillcolor="white [3201]" stroked="f" strokeweight=".5pt">
              <v:path arrowok="t"/>
              <v:textbox>
                <w:txbxContent>
                  <w:p w14:paraId="5FCDC6B4" w14:textId="77777777" w:rsidR="00AE5C8C" w:rsidRPr="00875E19" w:rsidRDefault="00AE5C8C" w:rsidP="00235B4A">
                    <w:pPr>
                      <w:spacing w:after="0" w:line="240" w:lineRule="auto"/>
                      <w:rPr>
                        <w:rFonts w:ascii="Times New Roman" w:hAnsi="Times New Roman"/>
                        <w:sz w:val="18"/>
                        <w:szCs w:val="16"/>
                      </w:rPr>
                    </w:pPr>
                    <w:r>
                      <w:rPr>
                        <w:rFonts w:ascii="Times New Roman" w:hAnsi="Times New Roman"/>
                        <w:sz w:val="18"/>
                        <w:szCs w:val="16"/>
                      </w:rPr>
                      <w:t xml:space="preserve"> </w:t>
                    </w:r>
                    <w:r w:rsidRPr="00875E19">
                      <w:rPr>
                        <w:rFonts w:ascii="Times New Roman" w:hAnsi="Times New Roman"/>
                        <w:sz w:val="18"/>
                        <w:szCs w:val="16"/>
                      </w:rPr>
                      <w:t>pISSN</w:t>
                    </w:r>
                    <w:r>
                      <w:rPr>
                        <w:rFonts w:ascii="Times New Roman" w:hAnsi="Times New Roman"/>
                        <w:sz w:val="18"/>
                        <w:szCs w:val="16"/>
                      </w:rPr>
                      <w:t xml:space="preserve"> </w:t>
                    </w:r>
                    <w:r w:rsidRPr="00556516">
                      <w:rPr>
                        <w:rFonts w:ascii="Times New Roman" w:hAnsi="Times New Roman"/>
                        <w:bCs/>
                        <w:sz w:val="18"/>
                        <w:szCs w:val="16"/>
                      </w:rPr>
                      <w:t>2349-</w:t>
                    </w:r>
                    <w:r w:rsidRPr="0042086F">
                      <w:rPr>
                        <w:rFonts w:ascii="Times New Roman" w:hAnsi="Times New Roman"/>
                        <w:bCs/>
                        <w:sz w:val="18"/>
                        <w:szCs w:val="16"/>
                      </w:rPr>
                      <w:t>3925</w:t>
                    </w:r>
                    <w:r w:rsidRPr="00875E19">
                      <w:rPr>
                        <w:rFonts w:ascii="Times New Roman" w:hAnsi="Times New Roman"/>
                        <w:sz w:val="18"/>
                        <w:szCs w:val="16"/>
                      </w:rPr>
                      <w:t xml:space="preserve"> | eISSN </w:t>
                    </w:r>
                    <w:r>
                      <w:rPr>
                        <w:rFonts w:ascii="Times New Roman" w:hAnsi="Times New Roman"/>
                        <w:sz w:val="18"/>
                        <w:szCs w:val="16"/>
                      </w:rPr>
                      <w:t>2349-</w:t>
                    </w:r>
                    <w:r w:rsidRPr="0042086F">
                      <w:rPr>
                        <w:rFonts w:ascii="Times New Roman" w:hAnsi="Times New Roman"/>
                        <w:sz w:val="18"/>
                        <w:szCs w:val="16"/>
                      </w:rPr>
                      <w:t>3933</w:t>
                    </w:r>
                  </w:p>
                  <w:p w14:paraId="7418CEFD" w14:textId="744CD143" w:rsidR="00AE5C8C" w:rsidRPr="00875E19" w:rsidRDefault="00AE5C8C" w:rsidP="00265E19">
                    <w:pPr>
                      <w:rPr>
                        <w:rFonts w:ascii="Times New Roman" w:hAnsi="Times New Roman"/>
                        <w:sz w:val="18"/>
                        <w:szCs w:val="16"/>
                      </w:rPr>
                    </w:pPr>
                  </w:p>
                  <w:p w14:paraId="76C9C7FA" w14:textId="77777777" w:rsidR="00AE5C8C" w:rsidRPr="00875E19" w:rsidRDefault="00AE5C8C" w:rsidP="004B2662">
                    <w:pPr>
                      <w:spacing w:after="0" w:line="240" w:lineRule="auto"/>
                      <w:rPr>
                        <w:rFonts w:ascii="Times New Roman" w:hAnsi="Times New Roman"/>
                        <w:sz w:val="18"/>
                        <w:szCs w:val="16"/>
                      </w:rPr>
                    </w:pPr>
                  </w:p>
                </w:txbxContent>
              </v:textbox>
            </v:shape>
          </w:pict>
        </mc:Fallback>
      </mc:AlternateContent>
    </w:r>
    <w:r>
      <w:rPr>
        <w:noProof/>
        <w:lang w:eastAsia="en-IN"/>
      </w:rPr>
      <mc:AlternateContent>
        <mc:Choice Requires="wps">
          <w:drawing>
            <wp:anchor distT="0" distB="0" distL="114300" distR="114300" simplePos="0" relativeHeight="251657216" behindDoc="0" locked="0" layoutInCell="1" allowOverlap="1" wp14:anchorId="16F16DF9" wp14:editId="471495BD">
              <wp:simplePos x="0" y="0"/>
              <wp:positionH relativeFrom="column">
                <wp:posOffset>-133985</wp:posOffset>
              </wp:positionH>
              <wp:positionV relativeFrom="paragraph">
                <wp:posOffset>-87630</wp:posOffset>
              </wp:positionV>
              <wp:extent cx="4381500" cy="552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A1B15" w14:textId="77777777" w:rsidR="00AE5C8C" w:rsidRDefault="00AE5C8C" w:rsidP="00235B4A">
                          <w:pPr>
                            <w:spacing w:after="0" w:line="240" w:lineRule="auto"/>
                            <w:rPr>
                              <w:rFonts w:ascii="Times New Roman" w:hAnsi="Times New Roman"/>
                              <w:sz w:val="18"/>
                              <w:szCs w:val="18"/>
                            </w:rPr>
                          </w:pPr>
                          <w:r w:rsidRPr="00B5396D">
                            <w:rPr>
                              <w:rFonts w:ascii="Times New Roman" w:hAnsi="Times New Roman"/>
                              <w:sz w:val="18"/>
                              <w:szCs w:val="18"/>
                            </w:rPr>
                            <w:t>International Journal of Advances in Medicine</w:t>
                          </w:r>
                        </w:p>
                        <w:p w14:paraId="3BDDF4C2" w14:textId="0412F115" w:rsidR="00AE5C8C" w:rsidRPr="001035E2" w:rsidRDefault="00194F66" w:rsidP="00235B4A">
                          <w:pPr>
                            <w:spacing w:after="0" w:line="240" w:lineRule="auto"/>
                            <w:rPr>
                              <w:rFonts w:ascii="Times New Roman" w:hAnsi="Times New Roman"/>
                              <w:i/>
                              <w:sz w:val="18"/>
                              <w:szCs w:val="18"/>
                            </w:rPr>
                          </w:pPr>
                          <w:r w:rsidRPr="00194F66">
                            <w:rPr>
                              <w:rFonts w:ascii="Times New Roman" w:hAnsi="Times New Roman"/>
                              <w:i/>
                              <w:sz w:val="18"/>
                              <w:szCs w:val="18"/>
                            </w:rPr>
                            <w:t xml:space="preserve">Joy D </w:t>
                          </w:r>
                          <w:r w:rsidR="00AE5C8C" w:rsidRPr="00F36788">
                            <w:rPr>
                              <w:rFonts w:ascii="Times New Roman" w:hAnsi="Times New Roman"/>
                              <w:i/>
                              <w:sz w:val="18"/>
                              <w:szCs w:val="18"/>
                            </w:rPr>
                            <w:t xml:space="preserve">et al. </w:t>
                          </w:r>
                          <w:r w:rsidR="00AE5C8C">
                            <w:rPr>
                              <w:rFonts w:ascii="Times New Roman" w:hAnsi="Times New Roman"/>
                              <w:i/>
                              <w:sz w:val="18"/>
                              <w:szCs w:val="18"/>
                            </w:rPr>
                            <w:t>Int J</w:t>
                          </w:r>
                          <w:r w:rsidR="00AE5C8C" w:rsidRPr="00B5396D">
                            <w:rPr>
                              <w:rFonts w:ascii="Times New Roman" w:hAnsi="Times New Roman"/>
                              <w:i/>
                              <w:sz w:val="18"/>
                              <w:szCs w:val="18"/>
                            </w:rPr>
                            <w:t xml:space="preserve"> Adv </w:t>
                          </w:r>
                          <w:r w:rsidR="00AE5C8C">
                            <w:rPr>
                              <w:rFonts w:ascii="Times New Roman" w:hAnsi="Times New Roman"/>
                              <w:i/>
                              <w:sz w:val="18"/>
                              <w:szCs w:val="18"/>
                            </w:rPr>
                            <w:t>Med. 2023 Nov;10(11):</w:t>
                          </w:r>
                          <w:r w:rsidR="00087ACE">
                            <w:rPr>
                              <w:rFonts w:ascii="Times New Roman" w:hAnsi="Times New Roman"/>
                              <w:i/>
                              <w:sz w:val="18"/>
                              <w:szCs w:val="18"/>
                            </w:rPr>
                            <w:t>770-777</w:t>
                          </w:r>
                        </w:p>
                        <w:p w14:paraId="4D038154" w14:textId="77777777" w:rsidR="00AE5C8C" w:rsidRPr="00F36788" w:rsidRDefault="00AE5C8C" w:rsidP="00235B4A">
                          <w:pPr>
                            <w:spacing w:after="0" w:line="240" w:lineRule="auto"/>
                            <w:rPr>
                              <w:rFonts w:ascii="Times New Roman" w:hAnsi="Times New Roman"/>
                              <w:sz w:val="18"/>
                              <w:szCs w:val="18"/>
                            </w:rPr>
                          </w:pPr>
                          <w:r>
                            <w:rPr>
                              <w:rFonts w:ascii="Times New Roman" w:hAnsi="Times New Roman"/>
                              <w:sz w:val="18"/>
                              <w:szCs w:val="18"/>
                            </w:rPr>
                            <w:t>http://www.ijmedicine.com</w:t>
                          </w:r>
                        </w:p>
                        <w:p w14:paraId="252BDD3C" w14:textId="77777777" w:rsidR="00AE5C8C" w:rsidRPr="00F36788" w:rsidRDefault="00AE5C8C" w:rsidP="00B56B86">
                          <w:pPr>
                            <w:spacing w:after="0" w:line="240" w:lineRule="auto"/>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16DF9" id="_x0000_t202" coordsize="21600,21600" o:spt="202" path="m,l,21600r21600,l21600,xe">
              <v:stroke joinstyle="miter"/>
              <v:path gradientshapeok="t" o:connecttype="rect"/>
            </v:shapetype>
            <v:shape id="Text Box 1" o:spid="_x0000_s1031" type="#_x0000_t202" style="position:absolute;margin-left:-10.55pt;margin-top:-6.9pt;width:34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" fillcolor="white [3201]" stroked="f" strokeweight=".5pt">
              <v:path arrowok="t"/>
              <v:textbox>
                <w:txbxContent>
                  <w:p w14:paraId="7FAA1B15" w14:textId="77777777" w:rsidR="00AE5C8C" w:rsidRDefault="00AE5C8C" w:rsidP="00235B4A">
                    <w:pPr>
                      <w:spacing w:after="0" w:line="240" w:lineRule="auto"/>
                      <w:rPr>
                        <w:rFonts w:ascii="Times New Roman" w:hAnsi="Times New Roman"/>
                        <w:sz w:val="18"/>
                        <w:szCs w:val="18"/>
                      </w:rPr>
                    </w:pPr>
                    <w:r w:rsidRPr="00B5396D">
                      <w:rPr>
                        <w:rFonts w:ascii="Times New Roman" w:hAnsi="Times New Roman"/>
                        <w:sz w:val="18"/>
                        <w:szCs w:val="18"/>
                      </w:rPr>
                      <w:t>International Journal of Advances in Medicine</w:t>
                    </w:r>
                  </w:p>
                  <w:p w14:paraId="3BDDF4C2" w14:textId="0412F115" w:rsidR="00AE5C8C" w:rsidRPr="001035E2" w:rsidRDefault="00194F66" w:rsidP="00235B4A">
                    <w:pPr>
                      <w:spacing w:after="0" w:line="240" w:lineRule="auto"/>
                      <w:rPr>
                        <w:rFonts w:ascii="Times New Roman" w:hAnsi="Times New Roman"/>
                        <w:i/>
                        <w:sz w:val="18"/>
                        <w:szCs w:val="18"/>
                      </w:rPr>
                    </w:pPr>
                    <w:r w:rsidRPr="00194F66">
                      <w:rPr>
                        <w:rFonts w:ascii="Times New Roman" w:hAnsi="Times New Roman"/>
                        <w:i/>
                        <w:sz w:val="18"/>
                        <w:szCs w:val="18"/>
                      </w:rPr>
                      <w:t xml:space="preserve">Joy D </w:t>
                    </w:r>
                    <w:r w:rsidR="00AE5C8C" w:rsidRPr="00F36788">
                      <w:rPr>
                        <w:rFonts w:ascii="Times New Roman" w:hAnsi="Times New Roman"/>
                        <w:i/>
                        <w:sz w:val="18"/>
                        <w:szCs w:val="18"/>
                      </w:rPr>
                      <w:t xml:space="preserve">et al. </w:t>
                    </w:r>
                    <w:r w:rsidR="00AE5C8C">
                      <w:rPr>
                        <w:rFonts w:ascii="Times New Roman" w:hAnsi="Times New Roman"/>
                        <w:i/>
                        <w:sz w:val="18"/>
                        <w:szCs w:val="18"/>
                      </w:rPr>
                      <w:t>Int J</w:t>
                    </w:r>
                    <w:r w:rsidR="00AE5C8C" w:rsidRPr="00B5396D">
                      <w:rPr>
                        <w:rFonts w:ascii="Times New Roman" w:hAnsi="Times New Roman"/>
                        <w:i/>
                        <w:sz w:val="18"/>
                        <w:szCs w:val="18"/>
                      </w:rPr>
                      <w:t xml:space="preserve"> Adv </w:t>
                    </w:r>
                    <w:r w:rsidR="00AE5C8C">
                      <w:rPr>
                        <w:rFonts w:ascii="Times New Roman" w:hAnsi="Times New Roman"/>
                        <w:i/>
                        <w:sz w:val="18"/>
                        <w:szCs w:val="18"/>
                      </w:rPr>
                      <w:t>Med. 2023 Nov;10(11):</w:t>
                    </w:r>
                    <w:r w:rsidR="00087ACE">
                      <w:rPr>
                        <w:rFonts w:ascii="Times New Roman" w:hAnsi="Times New Roman"/>
                        <w:i/>
                        <w:sz w:val="18"/>
                        <w:szCs w:val="18"/>
                      </w:rPr>
                      <w:t>770-777</w:t>
                    </w:r>
                  </w:p>
                  <w:p w14:paraId="4D038154" w14:textId="77777777" w:rsidR="00AE5C8C" w:rsidRPr="00F36788" w:rsidRDefault="00AE5C8C" w:rsidP="00235B4A">
                    <w:pPr>
                      <w:spacing w:after="0" w:line="240" w:lineRule="auto"/>
                      <w:rPr>
                        <w:rFonts w:ascii="Times New Roman" w:hAnsi="Times New Roman"/>
                        <w:sz w:val="18"/>
                        <w:szCs w:val="18"/>
                      </w:rPr>
                    </w:pPr>
                    <w:r>
                      <w:rPr>
                        <w:rFonts w:ascii="Times New Roman" w:hAnsi="Times New Roman"/>
                        <w:sz w:val="18"/>
                        <w:szCs w:val="18"/>
                      </w:rPr>
                      <w:t>http://www.ijmedicine.com</w:t>
                    </w:r>
                  </w:p>
                  <w:p w14:paraId="252BDD3C" w14:textId="77777777" w:rsidR="00AE5C8C" w:rsidRPr="00F36788" w:rsidRDefault="00AE5C8C" w:rsidP="00B56B86">
                    <w:pPr>
                      <w:spacing w:after="0" w:line="240" w:lineRule="auto"/>
                      <w:rPr>
                        <w:rFonts w:ascii="Times New Roman" w:hAnsi="Times New Roman"/>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9EF"/>
    <w:multiLevelType w:val="hybridMultilevel"/>
    <w:tmpl w:val="BE92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4090"/>
    <w:multiLevelType w:val="hybridMultilevel"/>
    <w:tmpl w:val="4E382FF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473A0"/>
    <w:multiLevelType w:val="hybridMultilevel"/>
    <w:tmpl w:val="A7D042B0"/>
    <w:lvl w:ilvl="0" w:tplc="35D0E982">
      <w:start w:val="1"/>
      <w:numFmt w:val="decimal"/>
      <w:lvlText w:val="%1."/>
      <w:lvlJc w:val="left"/>
      <w:pPr>
        <w:ind w:left="2862" w:hanging="360"/>
      </w:pPr>
      <w:rPr>
        <w:rFonts w:hint="default"/>
      </w:rPr>
    </w:lvl>
    <w:lvl w:ilvl="1" w:tplc="40090019">
      <w:start w:val="1"/>
      <w:numFmt w:val="lowerLetter"/>
      <w:lvlText w:val="%2."/>
      <w:lvlJc w:val="left"/>
      <w:pPr>
        <w:ind w:left="3582" w:hanging="360"/>
      </w:pPr>
    </w:lvl>
    <w:lvl w:ilvl="2" w:tplc="4009001B" w:tentative="1">
      <w:start w:val="1"/>
      <w:numFmt w:val="lowerRoman"/>
      <w:lvlText w:val="%3."/>
      <w:lvlJc w:val="right"/>
      <w:pPr>
        <w:ind w:left="4302" w:hanging="180"/>
      </w:pPr>
    </w:lvl>
    <w:lvl w:ilvl="3" w:tplc="4009000F" w:tentative="1">
      <w:start w:val="1"/>
      <w:numFmt w:val="decimal"/>
      <w:lvlText w:val="%4."/>
      <w:lvlJc w:val="left"/>
      <w:pPr>
        <w:ind w:left="5022" w:hanging="360"/>
      </w:pPr>
    </w:lvl>
    <w:lvl w:ilvl="4" w:tplc="40090019" w:tentative="1">
      <w:start w:val="1"/>
      <w:numFmt w:val="lowerLetter"/>
      <w:lvlText w:val="%5."/>
      <w:lvlJc w:val="left"/>
      <w:pPr>
        <w:ind w:left="5742" w:hanging="360"/>
      </w:pPr>
    </w:lvl>
    <w:lvl w:ilvl="5" w:tplc="4009001B" w:tentative="1">
      <w:start w:val="1"/>
      <w:numFmt w:val="lowerRoman"/>
      <w:lvlText w:val="%6."/>
      <w:lvlJc w:val="right"/>
      <w:pPr>
        <w:ind w:left="6462" w:hanging="180"/>
      </w:pPr>
    </w:lvl>
    <w:lvl w:ilvl="6" w:tplc="4009000F" w:tentative="1">
      <w:start w:val="1"/>
      <w:numFmt w:val="decimal"/>
      <w:lvlText w:val="%7."/>
      <w:lvlJc w:val="left"/>
      <w:pPr>
        <w:ind w:left="7182" w:hanging="360"/>
      </w:pPr>
    </w:lvl>
    <w:lvl w:ilvl="7" w:tplc="40090019" w:tentative="1">
      <w:start w:val="1"/>
      <w:numFmt w:val="lowerLetter"/>
      <w:lvlText w:val="%8."/>
      <w:lvlJc w:val="left"/>
      <w:pPr>
        <w:ind w:left="7902" w:hanging="360"/>
      </w:pPr>
    </w:lvl>
    <w:lvl w:ilvl="8" w:tplc="4009001B" w:tentative="1">
      <w:start w:val="1"/>
      <w:numFmt w:val="lowerRoman"/>
      <w:lvlText w:val="%9."/>
      <w:lvlJc w:val="right"/>
      <w:pPr>
        <w:ind w:left="8622" w:hanging="180"/>
      </w:pPr>
    </w:lvl>
  </w:abstractNum>
  <w:abstractNum w:abstractNumId="3" w15:restartNumberingAfterBreak="0">
    <w:nsid w:val="1ABB32F6"/>
    <w:multiLevelType w:val="hybridMultilevel"/>
    <w:tmpl w:val="BC9A15CE"/>
    <w:lvl w:ilvl="0" w:tplc="D64A8C24">
      <w:start w:val="1"/>
      <w:numFmt w:val="decimal"/>
      <w:pStyle w:val="Bibli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0068B4"/>
    <w:multiLevelType w:val="hybridMultilevel"/>
    <w:tmpl w:val="DB025968"/>
    <w:lvl w:ilvl="0" w:tplc="8458A18E">
      <w:start w:val="1"/>
      <w:numFmt w:val="decimal"/>
      <w:lvlText w:val="%1"/>
      <w:lvlJc w:val="left"/>
      <w:pPr>
        <w:ind w:left="990" w:hanging="360"/>
      </w:pPr>
      <w:rPr>
        <w:rFonts w:asciiTheme="minorHAnsi" w:eastAsiaTheme="minorHAnsi" w:hAnsiTheme="minorHAnsi" w:cstheme="minorBid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 w15:restartNumberingAfterBreak="0">
    <w:nsid w:val="20EA6435"/>
    <w:multiLevelType w:val="hybridMultilevel"/>
    <w:tmpl w:val="6B528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314874"/>
    <w:multiLevelType w:val="hybridMultilevel"/>
    <w:tmpl w:val="78B89B4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371C7BBE"/>
    <w:multiLevelType w:val="hybridMultilevel"/>
    <w:tmpl w:val="F0B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71032"/>
    <w:multiLevelType w:val="hybridMultilevel"/>
    <w:tmpl w:val="00F2A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6B2A94"/>
    <w:multiLevelType w:val="hybridMultilevel"/>
    <w:tmpl w:val="1A92B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1C785C"/>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6340D30"/>
    <w:multiLevelType w:val="hybridMultilevel"/>
    <w:tmpl w:val="15C455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A653C8D"/>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D2732F"/>
    <w:multiLevelType w:val="hybridMultilevel"/>
    <w:tmpl w:val="4768D2F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5D461FA"/>
    <w:multiLevelType w:val="hybridMultilevel"/>
    <w:tmpl w:val="1F460870"/>
    <w:lvl w:ilvl="0" w:tplc="5F5EFA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AD017F5"/>
    <w:multiLevelType w:val="hybridMultilevel"/>
    <w:tmpl w:val="0B704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6F2A2F"/>
    <w:multiLevelType w:val="hybridMultilevel"/>
    <w:tmpl w:val="01B6054A"/>
    <w:lvl w:ilvl="0" w:tplc="7ABAA882">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3C17947"/>
    <w:multiLevelType w:val="hybridMultilevel"/>
    <w:tmpl w:val="30B4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E605B"/>
    <w:multiLevelType w:val="hybridMultilevel"/>
    <w:tmpl w:val="DFCE800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A851590"/>
    <w:multiLevelType w:val="hybridMultilevel"/>
    <w:tmpl w:val="F2F8B46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8"/>
  </w:num>
  <w:num w:numId="5">
    <w:abstractNumId w:val="9"/>
  </w:num>
  <w:num w:numId="6">
    <w:abstractNumId w:val="15"/>
  </w:num>
  <w:num w:numId="7">
    <w:abstractNumId w:val="18"/>
  </w:num>
  <w:num w:numId="8">
    <w:abstractNumId w:val="3"/>
  </w:num>
  <w:num w:numId="9">
    <w:abstractNumId w:val="2"/>
  </w:num>
  <w:num w:numId="10">
    <w:abstractNumId w:val="6"/>
  </w:num>
  <w:num w:numId="11">
    <w:abstractNumId w:val="16"/>
  </w:num>
  <w:num w:numId="12">
    <w:abstractNumId w:val="5"/>
  </w:num>
  <w:num w:numId="13">
    <w:abstractNumId w:val="4"/>
  </w:num>
  <w:num w:numId="14">
    <w:abstractNumId w:val="17"/>
  </w:num>
  <w:num w:numId="15">
    <w:abstractNumId w:val="1"/>
  </w:num>
  <w:num w:numId="16">
    <w:abstractNumId w:val="19"/>
  </w:num>
  <w:num w:numId="17">
    <w:abstractNumId w:val="7"/>
  </w:num>
  <w:num w:numId="18">
    <w:abstractNumId w:val="0"/>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56"/>
    <w:rsid w:val="00002B06"/>
    <w:rsid w:val="00003D26"/>
    <w:rsid w:val="00004D45"/>
    <w:rsid w:val="0000788A"/>
    <w:rsid w:val="00010060"/>
    <w:rsid w:val="00010A51"/>
    <w:rsid w:val="00010F99"/>
    <w:rsid w:val="000123A6"/>
    <w:rsid w:val="00012526"/>
    <w:rsid w:val="00013E59"/>
    <w:rsid w:val="00016814"/>
    <w:rsid w:val="00017FAD"/>
    <w:rsid w:val="000200DA"/>
    <w:rsid w:val="000204A1"/>
    <w:rsid w:val="000226A5"/>
    <w:rsid w:val="00022C6E"/>
    <w:rsid w:val="00023C7C"/>
    <w:rsid w:val="00023F05"/>
    <w:rsid w:val="000273FF"/>
    <w:rsid w:val="00027F0E"/>
    <w:rsid w:val="00027F27"/>
    <w:rsid w:val="00030288"/>
    <w:rsid w:val="0003054B"/>
    <w:rsid w:val="00031556"/>
    <w:rsid w:val="00032473"/>
    <w:rsid w:val="00032AE2"/>
    <w:rsid w:val="00032F32"/>
    <w:rsid w:val="000333E0"/>
    <w:rsid w:val="00036167"/>
    <w:rsid w:val="000405B0"/>
    <w:rsid w:val="00041643"/>
    <w:rsid w:val="00041789"/>
    <w:rsid w:val="0004229E"/>
    <w:rsid w:val="00043C24"/>
    <w:rsid w:val="00043F4E"/>
    <w:rsid w:val="00044614"/>
    <w:rsid w:val="000460E5"/>
    <w:rsid w:val="000468B1"/>
    <w:rsid w:val="0004695F"/>
    <w:rsid w:val="00052D64"/>
    <w:rsid w:val="0005494B"/>
    <w:rsid w:val="00054EFC"/>
    <w:rsid w:val="000571AB"/>
    <w:rsid w:val="0006408E"/>
    <w:rsid w:val="00065B04"/>
    <w:rsid w:val="00065EA4"/>
    <w:rsid w:val="00067887"/>
    <w:rsid w:val="000707FF"/>
    <w:rsid w:val="00072709"/>
    <w:rsid w:val="00072CED"/>
    <w:rsid w:val="000733B3"/>
    <w:rsid w:val="0007363D"/>
    <w:rsid w:val="00073F5E"/>
    <w:rsid w:val="0007428D"/>
    <w:rsid w:val="000765DB"/>
    <w:rsid w:val="000803DF"/>
    <w:rsid w:val="00080D90"/>
    <w:rsid w:val="00081187"/>
    <w:rsid w:val="0008122C"/>
    <w:rsid w:val="0008180F"/>
    <w:rsid w:val="00081878"/>
    <w:rsid w:val="00081941"/>
    <w:rsid w:val="0008275C"/>
    <w:rsid w:val="000827D0"/>
    <w:rsid w:val="000873F1"/>
    <w:rsid w:val="00087ACE"/>
    <w:rsid w:val="00091888"/>
    <w:rsid w:val="00092CE8"/>
    <w:rsid w:val="00093432"/>
    <w:rsid w:val="000938F0"/>
    <w:rsid w:val="00094F57"/>
    <w:rsid w:val="000961D8"/>
    <w:rsid w:val="00097284"/>
    <w:rsid w:val="00097B47"/>
    <w:rsid w:val="000A0DB3"/>
    <w:rsid w:val="000A2B9B"/>
    <w:rsid w:val="000A3B65"/>
    <w:rsid w:val="000B0316"/>
    <w:rsid w:val="000B18F3"/>
    <w:rsid w:val="000B30BC"/>
    <w:rsid w:val="000B32C5"/>
    <w:rsid w:val="000B78F0"/>
    <w:rsid w:val="000B792C"/>
    <w:rsid w:val="000C3430"/>
    <w:rsid w:val="000C4781"/>
    <w:rsid w:val="000C60E9"/>
    <w:rsid w:val="000C61EA"/>
    <w:rsid w:val="000C70D4"/>
    <w:rsid w:val="000D00A3"/>
    <w:rsid w:val="000D00D7"/>
    <w:rsid w:val="000D15DC"/>
    <w:rsid w:val="000D1E73"/>
    <w:rsid w:val="000E0531"/>
    <w:rsid w:val="000E1045"/>
    <w:rsid w:val="000E1CC3"/>
    <w:rsid w:val="000E3357"/>
    <w:rsid w:val="000E60E0"/>
    <w:rsid w:val="000E68CD"/>
    <w:rsid w:val="000E6904"/>
    <w:rsid w:val="000E7E9A"/>
    <w:rsid w:val="000F0B3C"/>
    <w:rsid w:val="000F1019"/>
    <w:rsid w:val="000F2F08"/>
    <w:rsid w:val="000F2FE4"/>
    <w:rsid w:val="000F50FD"/>
    <w:rsid w:val="000F68FB"/>
    <w:rsid w:val="000F7452"/>
    <w:rsid w:val="001002A1"/>
    <w:rsid w:val="0010110D"/>
    <w:rsid w:val="001017DB"/>
    <w:rsid w:val="00101889"/>
    <w:rsid w:val="0010218C"/>
    <w:rsid w:val="00102684"/>
    <w:rsid w:val="00106C20"/>
    <w:rsid w:val="00107023"/>
    <w:rsid w:val="00110A73"/>
    <w:rsid w:val="001129A8"/>
    <w:rsid w:val="00112F95"/>
    <w:rsid w:val="001139B6"/>
    <w:rsid w:val="00113BF5"/>
    <w:rsid w:val="00120ABD"/>
    <w:rsid w:val="0012346E"/>
    <w:rsid w:val="001267F8"/>
    <w:rsid w:val="00127DC6"/>
    <w:rsid w:val="00130F43"/>
    <w:rsid w:val="001337B7"/>
    <w:rsid w:val="00133D2D"/>
    <w:rsid w:val="001359C3"/>
    <w:rsid w:val="00136500"/>
    <w:rsid w:val="00137F6E"/>
    <w:rsid w:val="00140223"/>
    <w:rsid w:val="00140640"/>
    <w:rsid w:val="00140811"/>
    <w:rsid w:val="00140FEA"/>
    <w:rsid w:val="00141960"/>
    <w:rsid w:val="00141B74"/>
    <w:rsid w:val="00145047"/>
    <w:rsid w:val="00146FB6"/>
    <w:rsid w:val="001478D1"/>
    <w:rsid w:val="00147E7B"/>
    <w:rsid w:val="001505C3"/>
    <w:rsid w:val="00150FBE"/>
    <w:rsid w:val="00151335"/>
    <w:rsid w:val="0015164F"/>
    <w:rsid w:val="00151BE8"/>
    <w:rsid w:val="001522A4"/>
    <w:rsid w:val="001530E6"/>
    <w:rsid w:val="00154204"/>
    <w:rsid w:val="00154C3F"/>
    <w:rsid w:val="00154F10"/>
    <w:rsid w:val="00155532"/>
    <w:rsid w:val="00155907"/>
    <w:rsid w:val="00155DD1"/>
    <w:rsid w:val="001563D3"/>
    <w:rsid w:val="00156BD5"/>
    <w:rsid w:val="0016173F"/>
    <w:rsid w:val="00161B5D"/>
    <w:rsid w:val="00161E5B"/>
    <w:rsid w:val="00162005"/>
    <w:rsid w:val="00162080"/>
    <w:rsid w:val="0016320D"/>
    <w:rsid w:val="001644A0"/>
    <w:rsid w:val="0016498D"/>
    <w:rsid w:val="001657B4"/>
    <w:rsid w:val="00166614"/>
    <w:rsid w:val="0016776E"/>
    <w:rsid w:val="00170094"/>
    <w:rsid w:val="001715D3"/>
    <w:rsid w:val="001743A0"/>
    <w:rsid w:val="00174BE0"/>
    <w:rsid w:val="00177AF6"/>
    <w:rsid w:val="00182D20"/>
    <w:rsid w:val="00183D69"/>
    <w:rsid w:val="001840E9"/>
    <w:rsid w:val="00184DEE"/>
    <w:rsid w:val="0018507B"/>
    <w:rsid w:val="00185DDA"/>
    <w:rsid w:val="00190FBA"/>
    <w:rsid w:val="001915BA"/>
    <w:rsid w:val="001932A8"/>
    <w:rsid w:val="00193922"/>
    <w:rsid w:val="00193EDC"/>
    <w:rsid w:val="00194281"/>
    <w:rsid w:val="00194782"/>
    <w:rsid w:val="00194CD6"/>
    <w:rsid w:val="00194F66"/>
    <w:rsid w:val="00197F56"/>
    <w:rsid w:val="001A1AE1"/>
    <w:rsid w:val="001A2C77"/>
    <w:rsid w:val="001A53B3"/>
    <w:rsid w:val="001A6C28"/>
    <w:rsid w:val="001B0112"/>
    <w:rsid w:val="001B0367"/>
    <w:rsid w:val="001B175C"/>
    <w:rsid w:val="001B1FDE"/>
    <w:rsid w:val="001B2BCD"/>
    <w:rsid w:val="001B3EB3"/>
    <w:rsid w:val="001B40E2"/>
    <w:rsid w:val="001B4C72"/>
    <w:rsid w:val="001B4D67"/>
    <w:rsid w:val="001B4E60"/>
    <w:rsid w:val="001B529F"/>
    <w:rsid w:val="001B5D4F"/>
    <w:rsid w:val="001C058E"/>
    <w:rsid w:val="001C331F"/>
    <w:rsid w:val="001C357D"/>
    <w:rsid w:val="001C38C8"/>
    <w:rsid w:val="001C3A03"/>
    <w:rsid w:val="001C3C33"/>
    <w:rsid w:val="001C7040"/>
    <w:rsid w:val="001C7B20"/>
    <w:rsid w:val="001D0C10"/>
    <w:rsid w:val="001D1219"/>
    <w:rsid w:val="001D1D23"/>
    <w:rsid w:val="001D1FE1"/>
    <w:rsid w:val="001D2BE1"/>
    <w:rsid w:val="001D58D1"/>
    <w:rsid w:val="001D77A5"/>
    <w:rsid w:val="001D7AEE"/>
    <w:rsid w:val="001E1999"/>
    <w:rsid w:val="001E1F61"/>
    <w:rsid w:val="001E2D01"/>
    <w:rsid w:val="001E5728"/>
    <w:rsid w:val="001E5D17"/>
    <w:rsid w:val="001F0E34"/>
    <w:rsid w:val="001F1274"/>
    <w:rsid w:val="001F1817"/>
    <w:rsid w:val="001F20DB"/>
    <w:rsid w:val="001F2554"/>
    <w:rsid w:val="001F2775"/>
    <w:rsid w:val="001F2E20"/>
    <w:rsid w:val="001F4A7D"/>
    <w:rsid w:val="001F5319"/>
    <w:rsid w:val="00200C62"/>
    <w:rsid w:val="00202B24"/>
    <w:rsid w:val="00203780"/>
    <w:rsid w:val="002056C0"/>
    <w:rsid w:val="002077EC"/>
    <w:rsid w:val="00210551"/>
    <w:rsid w:val="00210A06"/>
    <w:rsid w:val="00210E27"/>
    <w:rsid w:val="00211E5E"/>
    <w:rsid w:val="00213703"/>
    <w:rsid w:val="00213CB8"/>
    <w:rsid w:val="00215471"/>
    <w:rsid w:val="00215646"/>
    <w:rsid w:val="00215785"/>
    <w:rsid w:val="00215E6F"/>
    <w:rsid w:val="002164C5"/>
    <w:rsid w:val="002168D8"/>
    <w:rsid w:val="00220787"/>
    <w:rsid w:val="0022082A"/>
    <w:rsid w:val="00220B28"/>
    <w:rsid w:val="002217AD"/>
    <w:rsid w:val="00225DF8"/>
    <w:rsid w:val="002264CF"/>
    <w:rsid w:val="00226DEC"/>
    <w:rsid w:val="00230D14"/>
    <w:rsid w:val="00230FED"/>
    <w:rsid w:val="002330E3"/>
    <w:rsid w:val="002348C6"/>
    <w:rsid w:val="00235B4A"/>
    <w:rsid w:val="00236209"/>
    <w:rsid w:val="00236F1F"/>
    <w:rsid w:val="00240720"/>
    <w:rsid w:val="00242608"/>
    <w:rsid w:val="00242ED9"/>
    <w:rsid w:val="002447A4"/>
    <w:rsid w:val="00244AE3"/>
    <w:rsid w:val="0024518C"/>
    <w:rsid w:val="002467AD"/>
    <w:rsid w:val="002470D8"/>
    <w:rsid w:val="00251242"/>
    <w:rsid w:val="0025173B"/>
    <w:rsid w:val="00251D5B"/>
    <w:rsid w:val="00251DEE"/>
    <w:rsid w:val="00253F97"/>
    <w:rsid w:val="00254729"/>
    <w:rsid w:val="00255357"/>
    <w:rsid w:val="00256544"/>
    <w:rsid w:val="002603AE"/>
    <w:rsid w:val="002629A2"/>
    <w:rsid w:val="00263A6B"/>
    <w:rsid w:val="002653EF"/>
    <w:rsid w:val="00265C5D"/>
    <w:rsid w:val="00265E19"/>
    <w:rsid w:val="0026685E"/>
    <w:rsid w:val="00270D2C"/>
    <w:rsid w:val="00272AC0"/>
    <w:rsid w:val="00276C22"/>
    <w:rsid w:val="00276D7A"/>
    <w:rsid w:val="00277117"/>
    <w:rsid w:val="002774A2"/>
    <w:rsid w:val="00277663"/>
    <w:rsid w:val="00280D8B"/>
    <w:rsid w:val="00281581"/>
    <w:rsid w:val="0028174C"/>
    <w:rsid w:val="00281D87"/>
    <w:rsid w:val="0028291B"/>
    <w:rsid w:val="00284C79"/>
    <w:rsid w:val="002864F8"/>
    <w:rsid w:val="0028664D"/>
    <w:rsid w:val="00287567"/>
    <w:rsid w:val="0028797A"/>
    <w:rsid w:val="00290CA5"/>
    <w:rsid w:val="00292590"/>
    <w:rsid w:val="00293119"/>
    <w:rsid w:val="00294F71"/>
    <w:rsid w:val="00296990"/>
    <w:rsid w:val="00297C30"/>
    <w:rsid w:val="002A0C4B"/>
    <w:rsid w:val="002A50FC"/>
    <w:rsid w:val="002A5292"/>
    <w:rsid w:val="002B10C7"/>
    <w:rsid w:val="002B25A1"/>
    <w:rsid w:val="002B2AE2"/>
    <w:rsid w:val="002B3BEC"/>
    <w:rsid w:val="002B45FA"/>
    <w:rsid w:val="002B4735"/>
    <w:rsid w:val="002B4BE4"/>
    <w:rsid w:val="002B4CA2"/>
    <w:rsid w:val="002B522C"/>
    <w:rsid w:val="002B551F"/>
    <w:rsid w:val="002B6A36"/>
    <w:rsid w:val="002B6F82"/>
    <w:rsid w:val="002B7076"/>
    <w:rsid w:val="002C0851"/>
    <w:rsid w:val="002C22F0"/>
    <w:rsid w:val="002C2CED"/>
    <w:rsid w:val="002C32A9"/>
    <w:rsid w:val="002C3722"/>
    <w:rsid w:val="002C55A2"/>
    <w:rsid w:val="002C7476"/>
    <w:rsid w:val="002C7578"/>
    <w:rsid w:val="002C75F8"/>
    <w:rsid w:val="002D109C"/>
    <w:rsid w:val="002D12B3"/>
    <w:rsid w:val="002D1846"/>
    <w:rsid w:val="002D273D"/>
    <w:rsid w:val="002D3552"/>
    <w:rsid w:val="002D4505"/>
    <w:rsid w:val="002D5081"/>
    <w:rsid w:val="002D5339"/>
    <w:rsid w:val="002D67EA"/>
    <w:rsid w:val="002D7736"/>
    <w:rsid w:val="002D7B92"/>
    <w:rsid w:val="002E0014"/>
    <w:rsid w:val="002E1BA7"/>
    <w:rsid w:val="002E5DE5"/>
    <w:rsid w:val="002F2B90"/>
    <w:rsid w:val="002F35CD"/>
    <w:rsid w:val="002F41BC"/>
    <w:rsid w:val="002F49A3"/>
    <w:rsid w:val="002F4CF6"/>
    <w:rsid w:val="002F4E98"/>
    <w:rsid w:val="002F574D"/>
    <w:rsid w:val="002F74EE"/>
    <w:rsid w:val="003026CA"/>
    <w:rsid w:val="00302700"/>
    <w:rsid w:val="00304ECE"/>
    <w:rsid w:val="0030581B"/>
    <w:rsid w:val="003066AD"/>
    <w:rsid w:val="003074A8"/>
    <w:rsid w:val="00307C37"/>
    <w:rsid w:val="00310660"/>
    <w:rsid w:val="00312AA4"/>
    <w:rsid w:val="003140C7"/>
    <w:rsid w:val="00314CAA"/>
    <w:rsid w:val="00316524"/>
    <w:rsid w:val="003165A2"/>
    <w:rsid w:val="00317E56"/>
    <w:rsid w:val="00321520"/>
    <w:rsid w:val="0032755A"/>
    <w:rsid w:val="00327E53"/>
    <w:rsid w:val="003334D5"/>
    <w:rsid w:val="0033554C"/>
    <w:rsid w:val="00335FA7"/>
    <w:rsid w:val="003360FF"/>
    <w:rsid w:val="003365D4"/>
    <w:rsid w:val="00341DAD"/>
    <w:rsid w:val="003421AC"/>
    <w:rsid w:val="0034250F"/>
    <w:rsid w:val="00342A07"/>
    <w:rsid w:val="00344F2C"/>
    <w:rsid w:val="00347C87"/>
    <w:rsid w:val="00350C84"/>
    <w:rsid w:val="0035200D"/>
    <w:rsid w:val="0035273B"/>
    <w:rsid w:val="003529ED"/>
    <w:rsid w:val="003531FD"/>
    <w:rsid w:val="00353745"/>
    <w:rsid w:val="003540DB"/>
    <w:rsid w:val="0035420F"/>
    <w:rsid w:val="00355478"/>
    <w:rsid w:val="00356C28"/>
    <w:rsid w:val="00357513"/>
    <w:rsid w:val="00360635"/>
    <w:rsid w:val="00362175"/>
    <w:rsid w:val="00362B0D"/>
    <w:rsid w:val="00365071"/>
    <w:rsid w:val="003673B9"/>
    <w:rsid w:val="00370CC6"/>
    <w:rsid w:val="00370DD3"/>
    <w:rsid w:val="00371ED3"/>
    <w:rsid w:val="00373489"/>
    <w:rsid w:val="00374277"/>
    <w:rsid w:val="0037696A"/>
    <w:rsid w:val="003769FD"/>
    <w:rsid w:val="0037793C"/>
    <w:rsid w:val="00381148"/>
    <w:rsid w:val="003813B6"/>
    <w:rsid w:val="00381902"/>
    <w:rsid w:val="0038198C"/>
    <w:rsid w:val="00382C91"/>
    <w:rsid w:val="0038379A"/>
    <w:rsid w:val="00384230"/>
    <w:rsid w:val="00384FE9"/>
    <w:rsid w:val="00385F69"/>
    <w:rsid w:val="003861D6"/>
    <w:rsid w:val="00386AE8"/>
    <w:rsid w:val="00387788"/>
    <w:rsid w:val="00391ED2"/>
    <w:rsid w:val="003928EE"/>
    <w:rsid w:val="00392AE9"/>
    <w:rsid w:val="00392D86"/>
    <w:rsid w:val="0039492F"/>
    <w:rsid w:val="00394ADE"/>
    <w:rsid w:val="00394EF5"/>
    <w:rsid w:val="003954F7"/>
    <w:rsid w:val="00396695"/>
    <w:rsid w:val="00397A29"/>
    <w:rsid w:val="003A16FA"/>
    <w:rsid w:val="003A1D35"/>
    <w:rsid w:val="003A1F47"/>
    <w:rsid w:val="003A2B55"/>
    <w:rsid w:val="003A43A8"/>
    <w:rsid w:val="003A4720"/>
    <w:rsid w:val="003A5248"/>
    <w:rsid w:val="003A5299"/>
    <w:rsid w:val="003A57FA"/>
    <w:rsid w:val="003A6227"/>
    <w:rsid w:val="003B075D"/>
    <w:rsid w:val="003B0E31"/>
    <w:rsid w:val="003B1227"/>
    <w:rsid w:val="003B3518"/>
    <w:rsid w:val="003B43F4"/>
    <w:rsid w:val="003B4421"/>
    <w:rsid w:val="003B5819"/>
    <w:rsid w:val="003B5D09"/>
    <w:rsid w:val="003B6EF8"/>
    <w:rsid w:val="003C0253"/>
    <w:rsid w:val="003C0ABB"/>
    <w:rsid w:val="003C232C"/>
    <w:rsid w:val="003C2572"/>
    <w:rsid w:val="003C4BD6"/>
    <w:rsid w:val="003C51AD"/>
    <w:rsid w:val="003C6928"/>
    <w:rsid w:val="003C709B"/>
    <w:rsid w:val="003D1190"/>
    <w:rsid w:val="003D14CA"/>
    <w:rsid w:val="003D1AC9"/>
    <w:rsid w:val="003D2E83"/>
    <w:rsid w:val="003D572A"/>
    <w:rsid w:val="003D5779"/>
    <w:rsid w:val="003D5BB6"/>
    <w:rsid w:val="003E054B"/>
    <w:rsid w:val="003E2D7F"/>
    <w:rsid w:val="003E5047"/>
    <w:rsid w:val="003E7A25"/>
    <w:rsid w:val="003E7EFD"/>
    <w:rsid w:val="003F2BA2"/>
    <w:rsid w:val="003F4729"/>
    <w:rsid w:val="003F4BFE"/>
    <w:rsid w:val="003F5018"/>
    <w:rsid w:val="00400BBD"/>
    <w:rsid w:val="00401C7E"/>
    <w:rsid w:val="00404288"/>
    <w:rsid w:val="0040493B"/>
    <w:rsid w:val="00405D62"/>
    <w:rsid w:val="0040725C"/>
    <w:rsid w:val="00407E48"/>
    <w:rsid w:val="00411ECD"/>
    <w:rsid w:val="0041200B"/>
    <w:rsid w:val="00412B7D"/>
    <w:rsid w:val="004134E7"/>
    <w:rsid w:val="004143A7"/>
    <w:rsid w:val="004160A4"/>
    <w:rsid w:val="0041724D"/>
    <w:rsid w:val="00417E78"/>
    <w:rsid w:val="00421E5C"/>
    <w:rsid w:val="00422F59"/>
    <w:rsid w:val="00424C98"/>
    <w:rsid w:val="004261CF"/>
    <w:rsid w:val="00426378"/>
    <w:rsid w:val="00426DDA"/>
    <w:rsid w:val="0042785C"/>
    <w:rsid w:val="0043171B"/>
    <w:rsid w:val="004321A4"/>
    <w:rsid w:val="0043229D"/>
    <w:rsid w:val="0043421E"/>
    <w:rsid w:val="00435017"/>
    <w:rsid w:val="00435350"/>
    <w:rsid w:val="00435C9A"/>
    <w:rsid w:val="004365B8"/>
    <w:rsid w:val="00436E15"/>
    <w:rsid w:val="00441662"/>
    <w:rsid w:val="00441729"/>
    <w:rsid w:val="004431E1"/>
    <w:rsid w:val="0044616C"/>
    <w:rsid w:val="00450B28"/>
    <w:rsid w:val="004514BB"/>
    <w:rsid w:val="004540C4"/>
    <w:rsid w:val="004544CF"/>
    <w:rsid w:val="004546C4"/>
    <w:rsid w:val="00455B81"/>
    <w:rsid w:val="004564A7"/>
    <w:rsid w:val="00456C2E"/>
    <w:rsid w:val="00456E9E"/>
    <w:rsid w:val="004633C1"/>
    <w:rsid w:val="00463B37"/>
    <w:rsid w:val="00463FEE"/>
    <w:rsid w:val="00465C6B"/>
    <w:rsid w:val="00467F8A"/>
    <w:rsid w:val="004705DE"/>
    <w:rsid w:val="00470DC7"/>
    <w:rsid w:val="00471064"/>
    <w:rsid w:val="004718BD"/>
    <w:rsid w:val="0047699E"/>
    <w:rsid w:val="00480148"/>
    <w:rsid w:val="0048243D"/>
    <w:rsid w:val="0048321E"/>
    <w:rsid w:val="0048394F"/>
    <w:rsid w:val="00484003"/>
    <w:rsid w:val="00484BFC"/>
    <w:rsid w:val="00491134"/>
    <w:rsid w:val="00493548"/>
    <w:rsid w:val="004958AB"/>
    <w:rsid w:val="00495EB5"/>
    <w:rsid w:val="00496CF2"/>
    <w:rsid w:val="00496E97"/>
    <w:rsid w:val="00496F90"/>
    <w:rsid w:val="00497C99"/>
    <w:rsid w:val="004A01BF"/>
    <w:rsid w:val="004A0E49"/>
    <w:rsid w:val="004A1E28"/>
    <w:rsid w:val="004A244C"/>
    <w:rsid w:val="004A300F"/>
    <w:rsid w:val="004A37A2"/>
    <w:rsid w:val="004A3853"/>
    <w:rsid w:val="004A3A8F"/>
    <w:rsid w:val="004A48F3"/>
    <w:rsid w:val="004A4C58"/>
    <w:rsid w:val="004A6C8F"/>
    <w:rsid w:val="004A7991"/>
    <w:rsid w:val="004A7F15"/>
    <w:rsid w:val="004B0121"/>
    <w:rsid w:val="004B178A"/>
    <w:rsid w:val="004B18C8"/>
    <w:rsid w:val="004B2662"/>
    <w:rsid w:val="004B3A3F"/>
    <w:rsid w:val="004C0495"/>
    <w:rsid w:val="004C09A1"/>
    <w:rsid w:val="004C1139"/>
    <w:rsid w:val="004C1CC4"/>
    <w:rsid w:val="004C2363"/>
    <w:rsid w:val="004C2B7D"/>
    <w:rsid w:val="004C2B87"/>
    <w:rsid w:val="004C552F"/>
    <w:rsid w:val="004D041E"/>
    <w:rsid w:val="004D0589"/>
    <w:rsid w:val="004D0663"/>
    <w:rsid w:val="004D33AC"/>
    <w:rsid w:val="004D359A"/>
    <w:rsid w:val="004D48C6"/>
    <w:rsid w:val="004D60B3"/>
    <w:rsid w:val="004D7884"/>
    <w:rsid w:val="004D7BE9"/>
    <w:rsid w:val="004E0C41"/>
    <w:rsid w:val="004E1BB3"/>
    <w:rsid w:val="004E1E19"/>
    <w:rsid w:val="004E213B"/>
    <w:rsid w:val="004E2804"/>
    <w:rsid w:val="004E2C65"/>
    <w:rsid w:val="004E2D8F"/>
    <w:rsid w:val="004E3700"/>
    <w:rsid w:val="004E474A"/>
    <w:rsid w:val="004E53E7"/>
    <w:rsid w:val="004E55E4"/>
    <w:rsid w:val="004E5D2D"/>
    <w:rsid w:val="004F1704"/>
    <w:rsid w:val="004F1809"/>
    <w:rsid w:val="004F1A91"/>
    <w:rsid w:val="004F3071"/>
    <w:rsid w:val="004F462A"/>
    <w:rsid w:val="004F4A64"/>
    <w:rsid w:val="00501316"/>
    <w:rsid w:val="00502444"/>
    <w:rsid w:val="005047B3"/>
    <w:rsid w:val="00504983"/>
    <w:rsid w:val="0050757D"/>
    <w:rsid w:val="005100BB"/>
    <w:rsid w:val="00511374"/>
    <w:rsid w:val="005114B0"/>
    <w:rsid w:val="0051178D"/>
    <w:rsid w:val="0051259A"/>
    <w:rsid w:val="0051471D"/>
    <w:rsid w:val="00514E1C"/>
    <w:rsid w:val="005158B1"/>
    <w:rsid w:val="00520AFC"/>
    <w:rsid w:val="00522941"/>
    <w:rsid w:val="00525126"/>
    <w:rsid w:val="00525A4C"/>
    <w:rsid w:val="00525DA9"/>
    <w:rsid w:val="00526439"/>
    <w:rsid w:val="00533DE7"/>
    <w:rsid w:val="00533EE5"/>
    <w:rsid w:val="00533FD6"/>
    <w:rsid w:val="005348F2"/>
    <w:rsid w:val="00534E7E"/>
    <w:rsid w:val="0053556B"/>
    <w:rsid w:val="0053598D"/>
    <w:rsid w:val="00536615"/>
    <w:rsid w:val="00537CF5"/>
    <w:rsid w:val="00537EFC"/>
    <w:rsid w:val="0054016F"/>
    <w:rsid w:val="005405EA"/>
    <w:rsid w:val="00541533"/>
    <w:rsid w:val="00541BAD"/>
    <w:rsid w:val="00542372"/>
    <w:rsid w:val="00544C33"/>
    <w:rsid w:val="00544CF8"/>
    <w:rsid w:val="005513F9"/>
    <w:rsid w:val="005521D4"/>
    <w:rsid w:val="005536A5"/>
    <w:rsid w:val="00554A7B"/>
    <w:rsid w:val="00555780"/>
    <w:rsid w:val="005568D6"/>
    <w:rsid w:val="00557071"/>
    <w:rsid w:val="00562414"/>
    <w:rsid w:val="005644CA"/>
    <w:rsid w:val="00566C59"/>
    <w:rsid w:val="005705CD"/>
    <w:rsid w:val="0057114B"/>
    <w:rsid w:val="005732CE"/>
    <w:rsid w:val="0057363B"/>
    <w:rsid w:val="005753BC"/>
    <w:rsid w:val="005773A5"/>
    <w:rsid w:val="00581221"/>
    <w:rsid w:val="00581C8A"/>
    <w:rsid w:val="005829F9"/>
    <w:rsid w:val="00582E56"/>
    <w:rsid w:val="00582E88"/>
    <w:rsid w:val="00584C92"/>
    <w:rsid w:val="005874B4"/>
    <w:rsid w:val="0058753F"/>
    <w:rsid w:val="005877CC"/>
    <w:rsid w:val="00587917"/>
    <w:rsid w:val="00590582"/>
    <w:rsid w:val="00592746"/>
    <w:rsid w:val="00592990"/>
    <w:rsid w:val="005A062F"/>
    <w:rsid w:val="005A171B"/>
    <w:rsid w:val="005A232E"/>
    <w:rsid w:val="005A3A0F"/>
    <w:rsid w:val="005A4708"/>
    <w:rsid w:val="005A6AED"/>
    <w:rsid w:val="005A7468"/>
    <w:rsid w:val="005A74F1"/>
    <w:rsid w:val="005B1161"/>
    <w:rsid w:val="005B4F62"/>
    <w:rsid w:val="005B5A34"/>
    <w:rsid w:val="005B6D6A"/>
    <w:rsid w:val="005C02F6"/>
    <w:rsid w:val="005C1B2A"/>
    <w:rsid w:val="005C1FE7"/>
    <w:rsid w:val="005C33CE"/>
    <w:rsid w:val="005C3653"/>
    <w:rsid w:val="005C3AD2"/>
    <w:rsid w:val="005C4CFA"/>
    <w:rsid w:val="005C4E53"/>
    <w:rsid w:val="005C7482"/>
    <w:rsid w:val="005D11B4"/>
    <w:rsid w:val="005D17E0"/>
    <w:rsid w:val="005D1AC3"/>
    <w:rsid w:val="005D2549"/>
    <w:rsid w:val="005D5B68"/>
    <w:rsid w:val="005D61B3"/>
    <w:rsid w:val="005D688A"/>
    <w:rsid w:val="005D6D62"/>
    <w:rsid w:val="005E202E"/>
    <w:rsid w:val="005E28FF"/>
    <w:rsid w:val="005E3A9A"/>
    <w:rsid w:val="005E3C2F"/>
    <w:rsid w:val="005E3F6C"/>
    <w:rsid w:val="005E774F"/>
    <w:rsid w:val="005E783C"/>
    <w:rsid w:val="005F092C"/>
    <w:rsid w:val="005F127F"/>
    <w:rsid w:val="005F16E9"/>
    <w:rsid w:val="005F171A"/>
    <w:rsid w:val="005F25EB"/>
    <w:rsid w:val="005F3E15"/>
    <w:rsid w:val="005F494F"/>
    <w:rsid w:val="005F5F06"/>
    <w:rsid w:val="005F7C9A"/>
    <w:rsid w:val="005F7FA1"/>
    <w:rsid w:val="006004E9"/>
    <w:rsid w:val="00601DC6"/>
    <w:rsid w:val="00602A5D"/>
    <w:rsid w:val="006040C7"/>
    <w:rsid w:val="00604322"/>
    <w:rsid w:val="00604328"/>
    <w:rsid w:val="00605236"/>
    <w:rsid w:val="00605DF5"/>
    <w:rsid w:val="00605EAD"/>
    <w:rsid w:val="0060791B"/>
    <w:rsid w:val="006122C4"/>
    <w:rsid w:val="006132E7"/>
    <w:rsid w:val="00615277"/>
    <w:rsid w:val="006168A6"/>
    <w:rsid w:val="006202DF"/>
    <w:rsid w:val="00620EDA"/>
    <w:rsid w:val="006251B4"/>
    <w:rsid w:val="00626D61"/>
    <w:rsid w:val="00631340"/>
    <w:rsid w:val="00635B64"/>
    <w:rsid w:val="00635EB9"/>
    <w:rsid w:val="00637B7B"/>
    <w:rsid w:val="0064045F"/>
    <w:rsid w:val="00640910"/>
    <w:rsid w:val="0064200F"/>
    <w:rsid w:val="006430A1"/>
    <w:rsid w:val="00644A38"/>
    <w:rsid w:val="00647FF3"/>
    <w:rsid w:val="00651D41"/>
    <w:rsid w:val="0065285F"/>
    <w:rsid w:val="00652B4E"/>
    <w:rsid w:val="00653456"/>
    <w:rsid w:val="00654C63"/>
    <w:rsid w:val="00655084"/>
    <w:rsid w:val="00655C00"/>
    <w:rsid w:val="00656844"/>
    <w:rsid w:val="00662A33"/>
    <w:rsid w:val="00662CE7"/>
    <w:rsid w:val="006660FC"/>
    <w:rsid w:val="00667138"/>
    <w:rsid w:val="00667E3F"/>
    <w:rsid w:val="006714A1"/>
    <w:rsid w:val="00673081"/>
    <w:rsid w:val="00675FA9"/>
    <w:rsid w:val="006774CE"/>
    <w:rsid w:val="00677807"/>
    <w:rsid w:val="00680AC7"/>
    <w:rsid w:val="00681E80"/>
    <w:rsid w:val="0068246E"/>
    <w:rsid w:val="00682602"/>
    <w:rsid w:val="00686467"/>
    <w:rsid w:val="00690D0F"/>
    <w:rsid w:val="006914F7"/>
    <w:rsid w:val="006925B5"/>
    <w:rsid w:val="006938BA"/>
    <w:rsid w:val="006970EB"/>
    <w:rsid w:val="00697117"/>
    <w:rsid w:val="006975FA"/>
    <w:rsid w:val="006A0927"/>
    <w:rsid w:val="006A2004"/>
    <w:rsid w:val="006A2BF5"/>
    <w:rsid w:val="006A30D0"/>
    <w:rsid w:val="006A3A64"/>
    <w:rsid w:val="006A62E5"/>
    <w:rsid w:val="006A74EF"/>
    <w:rsid w:val="006B6046"/>
    <w:rsid w:val="006B72A2"/>
    <w:rsid w:val="006B795A"/>
    <w:rsid w:val="006C136C"/>
    <w:rsid w:val="006C391E"/>
    <w:rsid w:val="006C39CC"/>
    <w:rsid w:val="006C43F3"/>
    <w:rsid w:val="006C4F1E"/>
    <w:rsid w:val="006C6AB9"/>
    <w:rsid w:val="006C7DDC"/>
    <w:rsid w:val="006C7E8F"/>
    <w:rsid w:val="006D0FCC"/>
    <w:rsid w:val="006D1883"/>
    <w:rsid w:val="006D2ABE"/>
    <w:rsid w:val="006D36E0"/>
    <w:rsid w:val="006D5E1E"/>
    <w:rsid w:val="006D7F04"/>
    <w:rsid w:val="006E0179"/>
    <w:rsid w:val="006E29D6"/>
    <w:rsid w:val="006E2B28"/>
    <w:rsid w:val="006E3559"/>
    <w:rsid w:val="006E524F"/>
    <w:rsid w:val="006E5362"/>
    <w:rsid w:val="006E6F05"/>
    <w:rsid w:val="006E7246"/>
    <w:rsid w:val="006F3353"/>
    <w:rsid w:val="006F5341"/>
    <w:rsid w:val="006F688B"/>
    <w:rsid w:val="00701211"/>
    <w:rsid w:val="0070231C"/>
    <w:rsid w:val="00704078"/>
    <w:rsid w:val="0070417E"/>
    <w:rsid w:val="00704F80"/>
    <w:rsid w:val="00706EA7"/>
    <w:rsid w:val="0071177B"/>
    <w:rsid w:val="00714AC3"/>
    <w:rsid w:val="00715A88"/>
    <w:rsid w:val="00720A49"/>
    <w:rsid w:val="0072396A"/>
    <w:rsid w:val="00723993"/>
    <w:rsid w:val="00723A42"/>
    <w:rsid w:val="00723DBA"/>
    <w:rsid w:val="00724B98"/>
    <w:rsid w:val="007252A5"/>
    <w:rsid w:val="00725FF1"/>
    <w:rsid w:val="00727C76"/>
    <w:rsid w:val="00730DE3"/>
    <w:rsid w:val="00731A3E"/>
    <w:rsid w:val="007321EA"/>
    <w:rsid w:val="0073503C"/>
    <w:rsid w:val="00736B48"/>
    <w:rsid w:val="00740ACA"/>
    <w:rsid w:val="00741791"/>
    <w:rsid w:val="00746553"/>
    <w:rsid w:val="00747AAE"/>
    <w:rsid w:val="00750219"/>
    <w:rsid w:val="00750DE7"/>
    <w:rsid w:val="00751A15"/>
    <w:rsid w:val="0075264A"/>
    <w:rsid w:val="00752752"/>
    <w:rsid w:val="007541F4"/>
    <w:rsid w:val="007562B8"/>
    <w:rsid w:val="0076000A"/>
    <w:rsid w:val="00760F06"/>
    <w:rsid w:val="00761C8F"/>
    <w:rsid w:val="007628B8"/>
    <w:rsid w:val="00762A12"/>
    <w:rsid w:val="007633B8"/>
    <w:rsid w:val="00765A94"/>
    <w:rsid w:val="00766BF5"/>
    <w:rsid w:val="00767B01"/>
    <w:rsid w:val="007701B0"/>
    <w:rsid w:val="00770A5E"/>
    <w:rsid w:val="00770D98"/>
    <w:rsid w:val="0077277B"/>
    <w:rsid w:val="00772F6A"/>
    <w:rsid w:val="00772FBB"/>
    <w:rsid w:val="00773840"/>
    <w:rsid w:val="00775287"/>
    <w:rsid w:val="00775A4C"/>
    <w:rsid w:val="0077655C"/>
    <w:rsid w:val="007777FA"/>
    <w:rsid w:val="0077781A"/>
    <w:rsid w:val="007815B7"/>
    <w:rsid w:val="00782263"/>
    <w:rsid w:val="00783844"/>
    <w:rsid w:val="00787726"/>
    <w:rsid w:val="00791E96"/>
    <w:rsid w:val="0079277E"/>
    <w:rsid w:val="00792D93"/>
    <w:rsid w:val="00793CD6"/>
    <w:rsid w:val="00794B52"/>
    <w:rsid w:val="007950AD"/>
    <w:rsid w:val="0079683A"/>
    <w:rsid w:val="00796A64"/>
    <w:rsid w:val="007A0567"/>
    <w:rsid w:val="007A7D4F"/>
    <w:rsid w:val="007B0376"/>
    <w:rsid w:val="007B11D6"/>
    <w:rsid w:val="007B1209"/>
    <w:rsid w:val="007B1D8B"/>
    <w:rsid w:val="007B3F9C"/>
    <w:rsid w:val="007B7B6C"/>
    <w:rsid w:val="007B7B79"/>
    <w:rsid w:val="007C1BB7"/>
    <w:rsid w:val="007C3CC4"/>
    <w:rsid w:val="007C6095"/>
    <w:rsid w:val="007D02FD"/>
    <w:rsid w:val="007D43E8"/>
    <w:rsid w:val="007D49D1"/>
    <w:rsid w:val="007D4DAA"/>
    <w:rsid w:val="007D624D"/>
    <w:rsid w:val="007D6FE1"/>
    <w:rsid w:val="007E27C9"/>
    <w:rsid w:val="007E2AF0"/>
    <w:rsid w:val="007E329C"/>
    <w:rsid w:val="007E36EF"/>
    <w:rsid w:val="007E37A3"/>
    <w:rsid w:val="007E4A4B"/>
    <w:rsid w:val="007E5124"/>
    <w:rsid w:val="007E63DC"/>
    <w:rsid w:val="007F0C8F"/>
    <w:rsid w:val="007F0D77"/>
    <w:rsid w:val="007F1BD1"/>
    <w:rsid w:val="007F2B73"/>
    <w:rsid w:val="007F3425"/>
    <w:rsid w:val="007F40F6"/>
    <w:rsid w:val="007F4FCA"/>
    <w:rsid w:val="007F527B"/>
    <w:rsid w:val="007F5631"/>
    <w:rsid w:val="007F5B4E"/>
    <w:rsid w:val="007F5C76"/>
    <w:rsid w:val="007F5CC0"/>
    <w:rsid w:val="007F7078"/>
    <w:rsid w:val="007F77A7"/>
    <w:rsid w:val="00800F9F"/>
    <w:rsid w:val="008011A1"/>
    <w:rsid w:val="00804A2D"/>
    <w:rsid w:val="00804A88"/>
    <w:rsid w:val="00806CF2"/>
    <w:rsid w:val="00806E7D"/>
    <w:rsid w:val="008102D3"/>
    <w:rsid w:val="0081287B"/>
    <w:rsid w:val="0081434F"/>
    <w:rsid w:val="00814E7A"/>
    <w:rsid w:val="008159AD"/>
    <w:rsid w:val="00820863"/>
    <w:rsid w:val="00820AE4"/>
    <w:rsid w:val="008214B5"/>
    <w:rsid w:val="00821C1C"/>
    <w:rsid w:val="00821F3B"/>
    <w:rsid w:val="00823390"/>
    <w:rsid w:val="0082367E"/>
    <w:rsid w:val="008244AB"/>
    <w:rsid w:val="0082475C"/>
    <w:rsid w:val="00825C80"/>
    <w:rsid w:val="00826D41"/>
    <w:rsid w:val="008274AA"/>
    <w:rsid w:val="00830E4A"/>
    <w:rsid w:val="00831277"/>
    <w:rsid w:val="00831591"/>
    <w:rsid w:val="00831A6B"/>
    <w:rsid w:val="00832143"/>
    <w:rsid w:val="00832C20"/>
    <w:rsid w:val="00832DB5"/>
    <w:rsid w:val="008330D6"/>
    <w:rsid w:val="00833999"/>
    <w:rsid w:val="00841D63"/>
    <w:rsid w:val="00844CCA"/>
    <w:rsid w:val="0084612D"/>
    <w:rsid w:val="008472F8"/>
    <w:rsid w:val="008478EB"/>
    <w:rsid w:val="00850665"/>
    <w:rsid w:val="00852089"/>
    <w:rsid w:val="008545D8"/>
    <w:rsid w:val="00855115"/>
    <w:rsid w:val="008578B2"/>
    <w:rsid w:val="00860037"/>
    <w:rsid w:val="008602B4"/>
    <w:rsid w:val="00861A68"/>
    <w:rsid w:val="0086440C"/>
    <w:rsid w:val="00864892"/>
    <w:rsid w:val="00864936"/>
    <w:rsid w:val="00864F2D"/>
    <w:rsid w:val="008654DC"/>
    <w:rsid w:val="00865B61"/>
    <w:rsid w:val="00866C6C"/>
    <w:rsid w:val="00870AA5"/>
    <w:rsid w:val="008736C6"/>
    <w:rsid w:val="00873EE7"/>
    <w:rsid w:val="008743C6"/>
    <w:rsid w:val="00874B85"/>
    <w:rsid w:val="00875456"/>
    <w:rsid w:val="00877D27"/>
    <w:rsid w:val="00881504"/>
    <w:rsid w:val="00881591"/>
    <w:rsid w:val="00883491"/>
    <w:rsid w:val="00886727"/>
    <w:rsid w:val="00886A70"/>
    <w:rsid w:val="00887130"/>
    <w:rsid w:val="00891F79"/>
    <w:rsid w:val="00892240"/>
    <w:rsid w:val="008940F0"/>
    <w:rsid w:val="008946CA"/>
    <w:rsid w:val="008953A9"/>
    <w:rsid w:val="00895FCE"/>
    <w:rsid w:val="00896378"/>
    <w:rsid w:val="008963F6"/>
    <w:rsid w:val="00897D7F"/>
    <w:rsid w:val="008A2741"/>
    <w:rsid w:val="008A32EF"/>
    <w:rsid w:val="008A3794"/>
    <w:rsid w:val="008A37A9"/>
    <w:rsid w:val="008B1180"/>
    <w:rsid w:val="008B29A8"/>
    <w:rsid w:val="008B3B07"/>
    <w:rsid w:val="008B3F6C"/>
    <w:rsid w:val="008B54BF"/>
    <w:rsid w:val="008B6E23"/>
    <w:rsid w:val="008C39E7"/>
    <w:rsid w:val="008C6F0A"/>
    <w:rsid w:val="008C7CD5"/>
    <w:rsid w:val="008D0635"/>
    <w:rsid w:val="008D0847"/>
    <w:rsid w:val="008D32F3"/>
    <w:rsid w:val="008D50C3"/>
    <w:rsid w:val="008D53F7"/>
    <w:rsid w:val="008D5C06"/>
    <w:rsid w:val="008E3FA9"/>
    <w:rsid w:val="008E6FBF"/>
    <w:rsid w:val="008E701E"/>
    <w:rsid w:val="008E7917"/>
    <w:rsid w:val="008F0649"/>
    <w:rsid w:val="008F2944"/>
    <w:rsid w:val="008F2B1B"/>
    <w:rsid w:val="008F4B28"/>
    <w:rsid w:val="008F4E63"/>
    <w:rsid w:val="008F593A"/>
    <w:rsid w:val="008F5DCD"/>
    <w:rsid w:val="008F60E0"/>
    <w:rsid w:val="008F76BB"/>
    <w:rsid w:val="0090074A"/>
    <w:rsid w:val="009024A9"/>
    <w:rsid w:val="00903999"/>
    <w:rsid w:val="0090481A"/>
    <w:rsid w:val="00905E12"/>
    <w:rsid w:val="00907169"/>
    <w:rsid w:val="00907803"/>
    <w:rsid w:val="00910D95"/>
    <w:rsid w:val="00912CA0"/>
    <w:rsid w:val="00912D9E"/>
    <w:rsid w:val="00913451"/>
    <w:rsid w:val="00913F77"/>
    <w:rsid w:val="00915FE5"/>
    <w:rsid w:val="0091701A"/>
    <w:rsid w:val="00917961"/>
    <w:rsid w:val="00920C40"/>
    <w:rsid w:val="00920E4D"/>
    <w:rsid w:val="00922612"/>
    <w:rsid w:val="00924248"/>
    <w:rsid w:val="009253AF"/>
    <w:rsid w:val="00927F7D"/>
    <w:rsid w:val="0093063B"/>
    <w:rsid w:val="00932C97"/>
    <w:rsid w:val="00933648"/>
    <w:rsid w:val="00933E11"/>
    <w:rsid w:val="009347DC"/>
    <w:rsid w:val="0093494C"/>
    <w:rsid w:val="00934D9C"/>
    <w:rsid w:val="00935846"/>
    <w:rsid w:val="009359BB"/>
    <w:rsid w:val="00936B53"/>
    <w:rsid w:val="00941C8C"/>
    <w:rsid w:val="009424D1"/>
    <w:rsid w:val="009433D2"/>
    <w:rsid w:val="0094388E"/>
    <w:rsid w:val="00944867"/>
    <w:rsid w:val="00944871"/>
    <w:rsid w:val="00944B1F"/>
    <w:rsid w:val="00946D87"/>
    <w:rsid w:val="009471BB"/>
    <w:rsid w:val="00947751"/>
    <w:rsid w:val="00947F9B"/>
    <w:rsid w:val="00950181"/>
    <w:rsid w:val="00952557"/>
    <w:rsid w:val="00952BB4"/>
    <w:rsid w:val="009532F7"/>
    <w:rsid w:val="00953CDC"/>
    <w:rsid w:val="00956540"/>
    <w:rsid w:val="00957710"/>
    <w:rsid w:val="009637B8"/>
    <w:rsid w:val="009663D0"/>
    <w:rsid w:val="00966C53"/>
    <w:rsid w:val="00967AE4"/>
    <w:rsid w:val="009704AB"/>
    <w:rsid w:val="00970BE3"/>
    <w:rsid w:val="009711AF"/>
    <w:rsid w:val="009748A6"/>
    <w:rsid w:val="00975434"/>
    <w:rsid w:val="00981068"/>
    <w:rsid w:val="0098248D"/>
    <w:rsid w:val="00984ED2"/>
    <w:rsid w:val="00984F48"/>
    <w:rsid w:val="00986E5D"/>
    <w:rsid w:val="00986E8D"/>
    <w:rsid w:val="00990EAB"/>
    <w:rsid w:val="00992DB0"/>
    <w:rsid w:val="00993A80"/>
    <w:rsid w:val="0099410B"/>
    <w:rsid w:val="009948CB"/>
    <w:rsid w:val="00994D5B"/>
    <w:rsid w:val="0099573C"/>
    <w:rsid w:val="00996E4D"/>
    <w:rsid w:val="009A07B8"/>
    <w:rsid w:val="009A1966"/>
    <w:rsid w:val="009A275D"/>
    <w:rsid w:val="009A2BA0"/>
    <w:rsid w:val="009A404D"/>
    <w:rsid w:val="009A5E34"/>
    <w:rsid w:val="009A6227"/>
    <w:rsid w:val="009A782E"/>
    <w:rsid w:val="009A7C03"/>
    <w:rsid w:val="009B1BEB"/>
    <w:rsid w:val="009B3AE5"/>
    <w:rsid w:val="009B75D9"/>
    <w:rsid w:val="009C0B36"/>
    <w:rsid w:val="009C0EFD"/>
    <w:rsid w:val="009C3AD4"/>
    <w:rsid w:val="009C6047"/>
    <w:rsid w:val="009C7645"/>
    <w:rsid w:val="009D1D8C"/>
    <w:rsid w:val="009D1E25"/>
    <w:rsid w:val="009D3D7C"/>
    <w:rsid w:val="009D55B8"/>
    <w:rsid w:val="009D5E4F"/>
    <w:rsid w:val="009E09D5"/>
    <w:rsid w:val="009E28E4"/>
    <w:rsid w:val="009E334B"/>
    <w:rsid w:val="009E34E5"/>
    <w:rsid w:val="009E360C"/>
    <w:rsid w:val="009E3CAF"/>
    <w:rsid w:val="009E5FBB"/>
    <w:rsid w:val="009E6962"/>
    <w:rsid w:val="009E73A6"/>
    <w:rsid w:val="009F22A7"/>
    <w:rsid w:val="009F2B68"/>
    <w:rsid w:val="009F3A7B"/>
    <w:rsid w:val="009F4E1F"/>
    <w:rsid w:val="009F5343"/>
    <w:rsid w:val="009F6BD8"/>
    <w:rsid w:val="00A01131"/>
    <w:rsid w:val="00A02725"/>
    <w:rsid w:val="00A02E2A"/>
    <w:rsid w:val="00A04B9C"/>
    <w:rsid w:val="00A07122"/>
    <w:rsid w:val="00A110BF"/>
    <w:rsid w:val="00A115D2"/>
    <w:rsid w:val="00A15581"/>
    <w:rsid w:val="00A1658F"/>
    <w:rsid w:val="00A22A6A"/>
    <w:rsid w:val="00A244E9"/>
    <w:rsid w:val="00A25349"/>
    <w:rsid w:val="00A2593E"/>
    <w:rsid w:val="00A25AC2"/>
    <w:rsid w:val="00A25ADD"/>
    <w:rsid w:val="00A25B18"/>
    <w:rsid w:val="00A26A34"/>
    <w:rsid w:val="00A26E2E"/>
    <w:rsid w:val="00A26EA4"/>
    <w:rsid w:val="00A31AC3"/>
    <w:rsid w:val="00A32F8D"/>
    <w:rsid w:val="00A33EDC"/>
    <w:rsid w:val="00A3421E"/>
    <w:rsid w:val="00A346F5"/>
    <w:rsid w:val="00A34C94"/>
    <w:rsid w:val="00A35CA0"/>
    <w:rsid w:val="00A36147"/>
    <w:rsid w:val="00A37CE3"/>
    <w:rsid w:val="00A40D36"/>
    <w:rsid w:val="00A40F48"/>
    <w:rsid w:val="00A42BEE"/>
    <w:rsid w:val="00A44D91"/>
    <w:rsid w:val="00A45982"/>
    <w:rsid w:val="00A45CA0"/>
    <w:rsid w:val="00A4696E"/>
    <w:rsid w:val="00A47AFD"/>
    <w:rsid w:val="00A47F05"/>
    <w:rsid w:val="00A50060"/>
    <w:rsid w:val="00A50D94"/>
    <w:rsid w:val="00A5124E"/>
    <w:rsid w:val="00A51435"/>
    <w:rsid w:val="00A5298C"/>
    <w:rsid w:val="00A56989"/>
    <w:rsid w:val="00A56ED6"/>
    <w:rsid w:val="00A61A13"/>
    <w:rsid w:val="00A62627"/>
    <w:rsid w:val="00A62B9D"/>
    <w:rsid w:val="00A64001"/>
    <w:rsid w:val="00A64E51"/>
    <w:rsid w:val="00A65983"/>
    <w:rsid w:val="00A67729"/>
    <w:rsid w:val="00A67CD9"/>
    <w:rsid w:val="00A7455C"/>
    <w:rsid w:val="00A74818"/>
    <w:rsid w:val="00A754C3"/>
    <w:rsid w:val="00A75D7B"/>
    <w:rsid w:val="00A76535"/>
    <w:rsid w:val="00A772D5"/>
    <w:rsid w:val="00A80C87"/>
    <w:rsid w:val="00A80EFE"/>
    <w:rsid w:val="00A81E77"/>
    <w:rsid w:val="00A82056"/>
    <w:rsid w:val="00A8571B"/>
    <w:rsid w:val="00A90900"/>
    <w:rsid w:val="00A91232"/>
    <w:rsid w:val="00A93550"/>
    <w:rsid w:val="00A93694"/>
    <w:rsid w:val="00A95C7C"/>
    <w:rsid w:val="00A95FA2"/>
    <w:rsid w:val="00A96BD1"/>
    <w:rsid w:val="00A97522"/>
    <w:rsid w:val="00A97CF2"/>
    <w:rsid w:val="00AA22DD"/>
    <w:rsid w:val="00AA27C7"/>
    <w:rsid w:val="00AA2DAF"/>
    <w:rsid w:val="00AA2F77"/>
    <w:rsid w:val="00AA4794"/>
    <w:rsid w:val="00AA4803"/>
    <w:rsid w:val="00AA5287"/>
    <w:rsid w:val="00AA5B70"/>
    <w:rsid w:val="00AA5D1E"/>
    <w:rsid w:val="00AA7634"/>
    <w:rsid w:val="00AB007D"/>
    <w:rsid w:val="00AB2746"/>
    <w:rsid w:val="00AB3F8E"/>
    <w:rsid w:val="00AB45B8"/>
    <w:rsid w:val="00AB46A0"/>
    <w:rsid w:val="00AB47E5"/>
    <w:rsid w:val="00AB635E"/>
    <w:rsid w:val="00AC02CE"/>
    <w:rsid w:val="00AC10AA"/>
    <w:rsid w:val="00AC254A"/>
    <w:rsid w:val="00AC467E"/>
    <w:rsid w:val="00AC4751"/>
    <w:rsid w:val="00AC4825"/>
    <w:rsid w:val="00AC554F"/>
    <w:rsid w:val="00AC55CB"/>
    <w:rsid w:val="00AC5949"/>
    <w:rsid w:val="00AC61A2"/>
    <w:rsid w:val="00AC6908"/>
    <w:rsid w:val="00AC7F89"/>
    <w:rsid w:val="00AD17E1"/>
    <w:rsid w:val="00AD189D"/>
    <w:rsid w:val="00AD310C"/>
    <w:rsid w:val="00AD3ABC"/>
    <w:rsid w:val="00AD3B81"/>
    <w:rsid w:val="00AD6B5B"/>
    <w:rsid w:val="00AD74B4"/>
    <w:rsid w:val="00AE01B8"/>
    <w:rsid w:val="00AE0264"/>
    <w:rsid w:val="00AE0745"/>
    <w:rsid w:val="00AE0D49"/>
    <w:rsid w:val="00AE24F6"/>
    <w:rsid w:val="00AE3136"/>
    <w:rsid w:val="00AE5C8C"/>
    <w:rsid w:val="00AF07D8"/>
    <w:rsid w:val="00AF0F0B"/>
    <w:rsid w:val="00AF1D04"/>
    <w:rsid w:val="00AF1DE7"/>
    <w:rsid w:val="00AF25A2"/>
    <w:rsid w:val="00AF336D"/>
    <w:rsid w:val="00AF6112"/>
    <w:rsid w:val="00AF6587"/>
    <w:rsid w:val="00AF7DE1"/>
    <w:rsid w:val="00B001E2"/>
    <w:rsid w:val="00B00F6A"/>
    <w:rsid w:val="00B01C43"/>
    <w:rsid w:val="00B02233"/>
    <w:rsid w:val="00B02301"/>
    <w:rsid w:val="00B02C51"/>
    <w:rsid w:val="00B0352E"/>
    <w:rsid w:val="00B042C3"/>
    <w:rsid w:val="00B046F9"/>
    <w:rsid w:val="00B05738"/>
    <w:rsid w:val="00B06667"/>
    <w:rsid w:val="00B07156"/>
    <w:rsid w:val="00B10EE4"/>
    <w:rsid w:val="00B13E8C"/>
    <w:rsid w:val="00B13EDF"/>
    <w:rsid w:val="00B14F32"/>
    <w:rsid w:val="00B15922"/>
    <w:rsid w:val="00B15BB6"/>
    <w:rsid w:val="00B15C6E"/>
    <w:rsid w:val="00B20569"/>
    <w:rsid w:val="00B20F90"/>
    <w:rsid w:val="00B21E26"/>
    <w:rsid w:val="00B23BEC"/>
    <w:rsid w:val="00B243CB"/>
    <w:rsid w:val="00B24606"/>
    <w:rsid w:val="00B24F13"/>
    <w:rsid w:val="00B30415"/>
    <w:rsid w:val="00B31374"/>
    <w:rsid w:val="00B31A94"/>
    <w:rsid w:val="00B3208D"/>
    <w:rsid w:val="00B337F8"/>
    <w:rsid w:val="00B34D6D"/>
    <w:rsid w:val="00B34E7A"/>
    <w:rsid w:val="00B37317"/>
    <w:rsid w:val="00B37E42"/>
    <w:rsid w:val="00B40B58"/>
    <w:rsid w:val="00B410DD"/>
    <w:rsid w:val="00B410E8"/>
    <w:rsid w:val="00B42C80"/>
    <w:rsid w:val="00B452B0"/>
    <w:rsid w:val="00B455DD"/>
    <w:rsid w:val="00B5350A"/>
    <w:rsid w:val="00B53627"/>
    <w:rsid w:val="00B5492E"/>
    <w:rsid w:val="00B55176"/>
    <w:rsid w:val="00B55238"/>
    <w:rsid w:val="00B55476"/>
    <w:rsid w:val="00B554BD"/>
    <w:rsid w:val="00B5605A"/>
    <w:rsid w:val="00B56B86"/>
    <w:rsid w:val="00B57A4C"/>
    <w:rsid w:val="00B60F49"/>
    <w:rsid w:val="00B6194B"/>
    <w:rsid w:val="00B62D5E"/>
    <w:rsid w:val="00B647FA"/>
    <w:rsid w:val="00B65755"/>
    <w:rsid w:val="00B65F79"/>
    <w:rsid w:val="00B70690"/>
    <w:rsid w:val="00B720C0"/>
    <w:rsid w:val="00B76DFA"/>
    <w:rsid w:val="00B809F3"/>
    <w:rsid w:val="00B82224"/>
    <w:rsid w:val="00B822E1"/>
    <w:rsid w:val="00B82489"/>
    <w:rsid w:val="00B82EDA"/>
    <w:rsid w:val="00B84217"/>
    <w:rsid w:val="00B84C52"/>
    <w:rsid w:val="00B84CC4"/>
    <w:rsid w:val="00B84E4F"/>
    <w:rsid w:val="00B9120B"/>
    <w:rsid w:val="00B91E1C"/>
    <w:rsid w:val="00B92FF3"/>
    <w:rsid w:val="00B94014"/>
    <w:rsid w:val="00B9407A"/>
    <w:rsid w:val="00B95888"/>
    <w:rsid w:val="00B9753F"/>
    <w:rsid w:val="00B976E9"/>
    <w:rsid w:val="00BA1788"/>
    <w:rsid w:val="00BA45F2"/>
    <w:rsid w:val="00BA48DB"/>
    <w:rsid w:val="00BA5826"/>
    <w:rsid w:val="00BA5FA9"/>
    <w:rsid w:val="00BA6778"/>
    <w:rsid w:val="00BB0672"/>
    <w:rsid w:val="00BB21ED"/>
    <w:rsid w:val="00BB24FF"/>
    <w:rsid w:val="00BB2B1C"/>
    <w:rsid w:val="00BB652F"/>
    <w:rsid w:val="00BB7245"/>
    <w:rsid w:val="00BC11D6"/>
    <w:rsid w:val="00BC14A0"/>
    <w:rsid w:val="00BC285C"/>
    <w:rsid w:val="00BC30B4"/>
    <w:rsid w:val="00BC30D0"/>
    <w:rsid w:val="00BC3C8D"/>
    <w:rsid w:val="00BC7C97"/>
    <w:rsid w:val="00BD1515"/>
    <w:rsid w:val="00BD1592"/>
    <w:rsid w:val="00BD1EF7"/>
    <w:rsid w:val="00BD24F8"/>
    <w:rsid w:val="00BD2858"/>
    <w:rsid w:val="00BD33FD"/>
    <w:rsid w:val="00BD35C0"/>
    <w:rsid w:val="00BD4DE5"/>
    <w:rsid w:val="00BD599D"/>
    <w:rsid w:val="00BD68E7"/>
    <w:rsid w:val="00BE001D"/>
    <w:rsid w:val="00BE0C7E"/>
    <w:rsid w:val="00BE162F"/>
    <w:rsid w:val="00BE27AF"/>
    <w:rsid w:val="00BE2879"/>
    <w:rsid w:val="00BE4DFE"/>
    <w:rsid w:val="00BE5855"/>
    <w:rsid w:val="00BE6BB8"/>
    <w:rsid w:val="00BF18E3"/>
    <w:rsid w:val="00BF4A8F"/>
    <w:rsid w:val="00BF67FD"/>
    <w:rsid w:val="00BF7CE0"/>
    <w:rsid w:val="00C01E5E"/>
    <w:rsid w:val="00C03C0B"/>
    <w:rsid w:val="00C04852"/>
    <w:rsid w:val="00C04873"/>
    <w:rsid w:val="00C07DB0"/>
    <w:rsid w:val="00C1087B"/>
    <w:rsid w:val="00C12A05"/>
    <w:rsid w:val="00C1578E"/>
    <w:rsid w:val="00C16684"/>
    <w:rsid w:val="00C16D8E"/>
    <w:rsid w:val="00C16E75"/>
    <w:rsid w:val="00C17DF6"/>
    <w:rsid w:val="00C21BC1"/>
    <w:rsid w:val="00C21CE2"/>
    <w:rsid w:val="00C23FCF"/>
    <w:rsid w:val="00C244E0"/>
    <w:rsid w:val="00C24754"/>
    <w:rsid w:val="00C255CB"/>
    <w:rsid w:val="00C25A5E"/>
    <w:rsid w:val="00C25E4F"/>
    <w:rsid w:val="00C2607B"/>
    <w:rsid w:val="00C26AA5"/>
    <w:rsid w:val="00C30A97"/>
    <w:rsid w:val="00C33C7A"/>
    <w:rsid w:val="00C37675"/>
    <w:rsid w:val="00C44BA7"/>
    <w:rsid w:val="00C44BED"/>
    <w:rsid w:val="00C4502B"/>
    <w:rsid w:val="00C450BA"/>
    <w:rsid w:val="00C457B8"/>
    <w:rsid w:val="00C476AD"/>
    <w:rsid w:val="00C5057B"/>
    <w:rsid w:val="00C50CF3"/>
    <w:rsid w:val="00C50E0B"/>
    <w:rsid w:val="00C52F0A"/>
    <w:rsid w:val="00C5300C"/>
    <w:rsid w:val="00C5354B"/>
    <w:rsid w:val="00C53AB8"/>
    <w:rsid w:val="00C558DC"/>
    <w:rsid w:val="00C56703"/>
    <w:rsid w:val="00C575A2"/>
    <w:rsid w:val="00C6015A"/>
    <w:rsid w:val="00C603D6"/>
    <w:rsid w:val="00C6149E"/>
    <w:rsid w:val="00C61D1F"/>
    <w:rsid w:val="00C6517A"/>
    <w:rsid w:val="00C663E7"/>
    <w:rsid w:val="00C67979"/>
    <w:rsid w:val="00C679ED"/>
    <w:rsid w:val="00C712B0"/>
    <w:rsid w:val="00C73EB9"/>
    <w:rsid w:val="00C76FBC"/>
    <w:rsid w:val="00C80546"/>
    <w:rsid w:val="00C80A60"/>
    <w:rsid w:val="00C85570"/>
    <w:rsid w:val="00C90E6E"/>
    <w:rsid w:val="00C91E3E"/>
    <w:rsid w:val="00C9468B"/>
    <w:rsid w:val="00C955EA"/>
    <w:rsid w:val="00CA2808"/>
    <w:rsid w:val="00CA3C1C"/>
    <w:rsid w:val="00CA5EE7"/>
    <w:rsid w:val="00CA6E40"/>
    <w:rsid w:val="00CB0294"/>
    <w:rsid w:val="00CB0DFE"/>
    <w:rsid w:val="00CB129B"/>
    <w:rsid w:val="00CB28B5"/>
    <w:rsid w:val="00CB3184"/>
    <w:rsid w:val="00CB4EB1"/>
    <w:rsid w:val="00CB6EC6"/>
    <w:rsid w:val="00CC05AD"/>
    <w:rsid w:val="00CC084A"/>
    <w:rsid w:val="00CC1619"/>
    <w:rsid w:val="00CC23A8"/>
    <w:rsid w:val="00CC2AE1"/>
    <w:rsid w:val="00CC45BF"/>
    <w:rsid w:val="00CC49FB"/>
    <w:rsid w:val="00CC54FB"/>
    <w:rsid w:val="00CC5AF6"/>
    <w:rsid w:val="00CC5F18"/>
    <w:rsid w:val="00CC5FCD"/>
    <w:rsid w:val="00CC6309"/>
    <w:rsid w:val="00CC64AA"/>
    <w:rsid w:val="00CC7610"/>
    <w:rsid w:val="00CC7838"/>
    <w:rsid w:val="00CC7896"/>
    <w:rsid w:val="00CD3CEC"/>
    <w:rsid w:val="00CD4FF8"/>
    <w:rsid w:val="00CD59F2"/>
    <w:rsid w:val="00CE0718"/>
    <w:rsid w:val="00CE5E46"/>
    <w:rsid w:val="00CE77E8"/>
    <w:rsid w:val="00CE7AB7"/>
    <w:rsid w:val="00CE7D76"/>
    <w:rsid w:val="00CF021F"/>
    <w:rsid w:val="00CF46B6"/>
    <w:rsid w:val="00CF6195"/>
    <w:rsid w:val="00CF6BC5"/>
    <w:rsid w:val="00CF7488"/>
    <w:rsid w:val="00D01282"/>
    <w:rsid w:val="00D04249"/>
    <w:rsid w:val="00D0447C"/>
    <w:rsid w:val="00D04572"/>
    <w:rsid w:val="00D07A76"/>
    <w:rsid w:val="00D07C5E"/>
    <w:rsid w:val="00D109C8"/>
    <w:rsid w:val="00D1252A"/>
    <w:rsid w:val="00D17DE0"/>
    <w:rsid w:val="00D204B5"/>
    <w:rsid w:val="00D248F4"/>
    <w:rsid w:val="00D25AA5"/>
    <w:rsid w:val="00D26069"/>
    <w:rsid w:val="00D302AD"/>
    <w:rsid w:val="00D30381"/>
    <w:rsid w:val="00D30867"/>
    <w:rsid w:val="00D30919"/>
    <w:rsid w:val="00D3263D"/>
    <w:rsid w:val="00D32FFF"/>
    <w:rsid w:val="00D3310E"/>
    <w:rsid w:val="00D33916"/>
    <w:rsid w:val="00D33F3F"/>
    <w:rsid w:val="00D354F5"/>
    <w:rsid w:val="00D3612A"/>
    <w:rsid w:val="00D36598"/>
    <w:rsid w:val="00D4224E"/>
    <w:rsid w:val="00D4246A"/>
    <w:rsid w:val="00D46E22"/>
    <w:rsid w:val="00D47935"/>
    <w:rsid w:val="00D528F3"/>
    <w:rsid w:val="00D5361B"/>
    <w:rsid w:val="00D53C34"/>
    <w:rsid w:val="00D53FBC"/>
    <w:rsid w:val="00D55690"/>
    <w:rsid w:val="00D578D0"/>
    <w:rsid w:val="00D605F6"/>
    <w:rsid w:val="00D629B8"/>
    <w:rsid w:val="00D6478D"/>
    <w:rsid w:val="00D64E76"/>
    <w:rsid w:val="00D66262"/>
    <w:rsid w:val="00D6635D"/>
    <w:rsid w:val="00D663A3"/>
    <w:rsid w:val="00D67307"/>
    <w:rsid w:val="00D708ED"/>
    <w:rsid w:val="00D70BFE"/>
    <w:rsid w:val="00D71C5C"/>
    <w:rsid w:val="00D726D5"/>
    <w:rsid w:val="00D72911"/>
    <w:rsid w:val="00D741BD"/>
    <w:rsid w:val="00D74252"/>
    <w:rsid w:val="00D7438D"/>
    <w:rsid w:val="00D760D5"/>
    <w:rsid w:val="00D764DE"/>
    <w:rsid w:val="00D772E1"/>
    <w:rsid w:val="00D77EF9"/>
    <w:rsid w:val="00D804CA"/>
    <w:rsid w:val="00D81215"/>
    <w:rsid w:val="00D83D29"/>
    <w:rsid w:val="00D83E80"/>
    <w:rsid w:val="00D84D48"/>
    <w:rsid w:val="00D85C4D"/>
    <w:rsid w:val="00D85F0F"/>
    <w:rsid w:val="00D87394"/>
    <w:rsid w:val="00D876B6"/>
    <w:rsid w:val="00D906C6"/>
    <w:rsid w:val="00D91624"/>
    <w:rsid w:val="00D91847"/>
    <w:rsid w:val="00D9269D"/>
    <w:rsid w:val="00D965D6"/>
    <w:rsid w:val="00D97466"/>
    <w:rsid w:val="00D975BA"/>
    <w:rsid w:val="00DA1410"/>
    <w:rsid w:val="00DA1CED"/>
    <w:rsid w:val="00DA36FA"/>
    <w:rsid w:val="00DA53B8"/>
    <w:rsid w:val="00DA5445"/>
    <w:rsid w:val="00DA5CCE"/>
    <w:rsid w:val="00DA62E9"/>
    <w:rsid w:val="00DB07A2"/>
    <w:rsid w:val="00DB292C"/>
    <w:rsid w:val="00DB3293"/>
    <w:rsid w:val="00DB46DD"/>
    <w:rsid w:val="00DB5B70"/>
    <w:rsid w:val="00DB7658"/>
    <w:rsid w:val="00DB7AAC"/>
    <w:rsid w:val="00DC0EC2"/>
    <w:rsid w:val="00DC2B38"/>
    <w:rsid w:val="00DC4C8C"/>
    <w:rsid w:val="00DC6ED5"/>
    <w:rsid w:val="00DC7F32"/>
    <w:rsid w:val="00DD0FAD"/>
    <w:rsid w:val="00DD24C8"/>
    <w:rsid w:val="00DD2877"/>
    <w:rsid w:val="00DD2FF9"/>
    <w:rsid w:val="00DD4E97"/>
    <w:rsid w:val="00DD5F8B"/>
    <w:rsid w:val="00DE04AF"/>
    <w:rsid w:val="00DE0635"/>
    <w:rsid w:val="00DE0644"/>
    <w:rsid w:val="00DE14D3"/>
    <w:rsid w:val="00DE29D1"/>
    <w:rsid w:val="00DE3F55"/>
    <w:rsid w:val="00DE4915"/>
    <w:rsid w:val="00DE581B"/>
    <w:rsid w:val="00DE5CE6"/>
    <w:rsid w:val="00DE6F93"/>
    <w:rsid w:val="00DF082F"/>
    <w:rsid w:val="00DF4848"/>
    <w:rsid w:val="00DF57BB"/>
    <w:rsid w:val="00E0126D"/>
    <w:rsid w:val="00E013E8"/>
    <w:rsid w:val="00E02215"/>
    <w:rsid w:val="00E0366C"/>
    <w:rsid w:val="00E05356"/>
    <w:rsid w:val="00E05489"/>
    <w:rsid w:val="00E10966"/>
    <w:rsid w:val="00E11533"/>
    <w:rsid w:val="00E1417A"/>
    <w:rsid w:val="00E1490A"/>
    <w:rsid w:val="00E1539C"/>
    <w:rsid w:val="00E156C9"/>
    <w:rsid w:val="00E15C14"/>
    <w:rsid w:val="00E15E64"/>
    <w:rsid w:val="00E174DE"/>
    <w:rsid w:val="00E1769E"/>
    <w:rsid w:val="00E22E0E"/>
    <w:rsid w:val="00E23E3F"/>
    <w:rsid w:val="00E24243"/>
    <w:rsid w:val="00E251F5"/>
    <w:rsid w:val="00E256C8"/>
    <w:rsid w:val="00E259CB"/>
    <w:rsid w:val="00E2735F"/>
    <w:rsid w:val="00E302A9"/>
    <w:rsid w:val="00E32825"/>
    <w:rsid w:val="00E33562"/>
    <w:rsid w:val="00E33777"/>
    <w:rsid w:val="00E33919"/>
    <w:rsid w:val="00E41FE2"/>
    <w:rsid w:val="00E4398C"/>
    <w:rsid w:val="00E44369"/>
    <w:rsid w:val="00E44FC0"/>
    <w:rsid w:val="00E4522B"/>
    <w:rsid w:val="00E45448"/>
    <w:rsid w:val="00E50282"/>
    <w:rsid w:val="00E50385"/>
    <w:rsid w:val="00E50957"/>
    <w:rsid w:val="00E510E3"/>
    <w:rsid w:val="00E519CC"/>
    <w:rsid w:val="00E54CD9"/>
    <w:rsid w:val="00E55DC1"/>
    <w:rsid w:val="00E55ED2"/>
    <w:rsid w:val="00E561AA"/>
    <w:rsid w:val="00E5697A"/>
    <w:rsid w:val="00E574A1"/>
    <w:rsid w:val="00E62224"/>
    <w:rsid w:val="00E62580"/>
    <w:rsid w:val="00E62B29"/>
    <w:rsid w:val="00E64056"/>
    <w:rsid w:val="00E66B7B"/>
    <w:rsid w:val="00E674A9"/>
    <w:rsid w:val="00E676EF"/>
    <w:rsid w:val="00E70533"/>
    <w:rsid w:val="00E739F8"/>
    <w:rsid w:val="00E73FFF"/>
    <w:rsid w:val="00E744C3"/>
    <w:rsid w:val="00E746A4"/>
    <w:rsid w:val="00E74C1B"/>
    <w:rsid w:val="00E75320"/>
    <w:rsid w:val="00E7583C"/>
    <w:rsid w:val="00E75E52"/>
    <w:rsid w:val="00E761DB"/>
    <w:rsid w:val="00E8055F"/>
    <w:rsid w:val="00E80AA6"/>
    <w:rsid w:val="00E8175D"/>
    <w:rsid w:val="00E824BD"/>
    <w:rsid w:val="00E82AA2"/>
    <w:rsid w:val="00E83246"/>
    <w:rsid w:val="00E854B0"/>
    <w:rsid w:val="00E85FED"/>
    <w:rsid w:val="00E86247"/>
    <w:rsid w:val="00E87EBF"/>
    <w:rsid w:val="00E91523"/>
    <w:rsid w:val="00E91CDE"/>
    <w:rsid w:val="00E92890"/>
    <w:rsid w:val="00E95E02"/>
    <w:rsid w:val="00E96DD7"/>
    <w:rsid w:val="00E9716C"/>
    <w:rsid w:val="00E97DC7"/>
    <w:rsid w:val="00EA0397"/>
    <w:rsid w:val="00EA03DF"/>
    <w:rsid w:val="00EA0894"/>
    <w:rsid w:val="00EA18A7"/>
    <w:rsid w:val="00EA7012"/>
    <w:rsid w:val="00EA774E"/>
    <w:rsid w:val="00EB033B"/>
    <w:rsid w:val="00EB1637"/>
    <w:rsid w:val="00EB17A9"/>
    <w:rsid w:val="00EB2D5A"/>
    <w:rsid w:val="00EB32E5"/>
    <w:rsid w:val="00EB3A39"/>
    <w:rsid w:val="00EB43C4"/>
    <w:rsid w:val="00EB5284"/>
    <w:rsid w:val="00EC0060"/>
    <w:rsid w:val="00EC16CD"/>
    <w:rsid w:val="00EC1BD3"/>
    <w:rsid w:val="00EC4926"/>
    <w:rsid w:val="00EC6700"/>
    <w:rsid w:val="00EC6F81"/>
    <w:rsid w:val="00EC7283"/>
    <w:rsid w:val="00ED0333"/>
    <w:rsid w:val="00ED04F0"/>
    <w:rsid w:val="00ED21F3"/>
    <w:rsid w:val="00ED277C"/>
    <w:rsid w:val="00ED344B"/>
    <w:rsid w:val="00ED4885"/>
    <w:rsid w:val="00ED521C"/>
    <w:rsid w:val="00ED544F"/>
    <w:rsid w:val="00ED73BE"/>
    <w:rsid w:val="00EE5D9E"/>
    <w:rsid w:val="00EE6D8A"/>
    <w:rsid w:val="00EF10C6"/>
    <w:rsid w:val="00EF2ABC"/>
    <w:rsid w:val="00EF2BAA"/>
    <w:rsid w:val="00EF47FA"/>
    <w:rsid w:val="00EF5B67"/>
    <w:rsid w:val="00EF784D"/>
    <w:rsid w:val="00F022F2"/>
    <w:rsid w:val="00F03A37"/>
    <w:rsid w:val="00F03D2A"/>
    <w:rsid w:val="00F0442B"/>
    <w:rsid w:val="00F046A0"/>
    <w:rsid w:val="00F10EB4"/>
    <w:rsid w:val="00F13E4B"/>
    <w:rsid w:val="00F17964"/>
    <w:rsid w:val="00F203B3"/>
    <w:rsid w:val="00F23D5F"/>
    <w:rsid w:val="00F23DD3"/>
    <w:rsid w:val="00F24901"/>
    <w:rsid w:val="00F24E08"/>
    <w:rsid w:val="00F25B72"/>
    <w:rsid w:val="00F26CC1"/>
    <w:rsid w:val="00F27C0E"/>
    <w:rsid w:val="00F3192C"/>
    <w:rsid w:val="00F320F0"/>
    <w:rsid w:val="00F32259"/>
    <w:rsid w:val="00F32A45"/>
    <w:rsid w:val="00F3306D"/>
    <w:rsid w:val="00F331E2"/>
    <w:rsid w:val="00F33BA6"/>
    <w:rsid w:val="00F36377"/>
    <w:rsid w:val="00F36788"/>
    <w:rsid w:val="00F36B94"/>
    <w:rsid w:val="00F37B26"/>
    <w:rsid w:val="00F42F48"/>
    <w:rsid w:val="00F43E20"/>
    <w:rsid w:val="00F43E55"/>
    <w:rsid w:val="00F447E5"/>
    <w:rsid w:val="00F4507F"/>
    <w:rsid w:val="00F45574"/>
    <w:rsid w:val="00F46548"/>
    <w:rsid w:val="00F466B2"/>
    <w:rsid w:val="00F500D0"/>
    <w:rsid w:val="00F52089"/>
    <w:rsid w:val="00F5347C"/>
    <w:rsid w:val="00F53967"/>
    <w:rsid w:val="00F54792"/>
    <w:rsid w:val="00F54AFB"/>
    <w:rsid w:val="00F54CF1"/>
    <w:rsid w:val="00F57A08"/>
    <w:rsid w:val="00F6070E"/>
    <w:rsid w:val="00F6323D"/>
    <w:rsid w:val="00F6446E"/>
    <w:rsid w:val="00F644DD"/>
    <w:rsid w:val="00F70E5B"/>
    <w:rsid w:val="00F7313F"/>
    <w:rsid w:val="00F7404D"/>
    <w:rsid w:val="00F74A93"/>
    <w:rsid w:val="00F77845"/>
    <w:rsid w:val="00F81C8B"/>
    <w:rsid w:val="00F81E44"/>
    <w:rsid w:val="00F83A41"/>
    <w:rsid w:val="00F84044"/>
    <w:rsid w:val="00F904D6"/>
    <w:rsid w:val="00F91B9D"/>
    <w:rsid w:val="00F955A2"/>
    <w:rsid w:val="00F96B0C"/>
    <w:rsid w:val="00FA011E"/>
    <w:rsid w:val="00FA0C6C"/>
    <w:rsid w:val="00FA1678"/>
    <w:rsid w:val="00FA1992"/>
    <w:rsid w:val="00FA1B42"/>
    <w:rsid w:val="00FA3676"/>
    <w:rsid w:val="00FA37B1"/>
    <w:rsid w:val="00FA4492"/>
    <w:rsid w:val="00FA5B84"/>
    <w:rsid w:val="00FA624C"/>
    <w:rsid w:val="00FA6FA0"/>
    <w:rsid w:val="00FB055E"/>
    <w:rsid w:val="00FB16E5"/>
    <w:rsid w:val="00FB2658"/>
    <w:rsid w:val="00FB42D7"/>
    <w:rsid w:val="00FB521B"/>
    <w:rsid w:val="00FB5C94"/>
    <w:rsid w:val="00FB6437"/>
    <w:rsid w:val="00FB79F0"/>
    <w:rsid w:val="00FC0DF7"/>
    <w:rsid w:val="00FC1224"/>
    <w:rsid w:val="00FC15CC"/>
    <w:rsid w:val="00FC1CA4"/>
    <w:rsid w:val="00FC3593"/>
    <w:rsid w:val="00FC3903"/>
    <w:rsid w:val="00FC5181"/>
    <w:rsid w:val="00FC55FD"/>
    <w:rsid w:val="00FC6235"/>
    <w:rsid w:val="00FC6CD8"/>
    <w:rsid w:val="00FC74B1"/>
    <w:rsid w:val="00FD1632"/>
    <w:rsid w:val="00FD2161"/>
    <w:rsid w:val="00FD260B"/>
    <w:rsid w:val="00FD452E"/>
    <w:rsid w:val="00FD4ACE"/>
    <w:rsid w:val="00FD511E"/>
    <w:rsid w:val="00FD5649"/>
    <w:rsid w:val="00FD5C27"/>
    <w:rsid w:val="00FD6C6B"/>
    <w:rsid w:val="00FD707F"/>
    <w:rsid w:val="00FD717E"/>
    <w:rsid w:val="00FE2CF3"/>
    <w:rsid w:val="00FE3D6F"/>
    <w:rsid w:val="00FE4D44"/>
    <w:rsid w:val="00FE6417"/>
    <w:rsid w:val="00FE6E82"/>
    <w:rsid w:val="00FF09DB"/>
    <w:rsid w:val="00FF0A45"/>
    <w:rsid w:val="00FF0D23"/>
    <w:rsid w:val="00FF1236"/>
    <w:rsid w:val="00FF55B2"/>
    <w:rsid w:val="00FF5F79"/>
    <w:rsid w:val="00FF668D"/>
    <w:rsid w:val="00FF6711"/>
    <w:rsid w:val="00FF6D18"/>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7E5AD"/>
  <w15:docId w15:val="{926F8C89-23E4-40D5-AC77-AA816585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AA6"/>
    <w:rPr>
      <w:rFonts w:ascii="Times New Roman" w:hAnsi="Times New Roman"/>
      <w:sz w:val="24"/>
      <w:szCs w:val="24"/>
    </w:rPr>
  </w:style>
  <w:style w:type="character" w:customStyle="1" w:styleId="A4">
    <w:name w:val="A4"/>
    <w:uiPriority w:val="99"/>
    <w:rsid w:val="00A40F48"/>
    <w:rPr>
      <w:color w:val="000000"/>
      <w:sz w:val="12"/>
      <w:szCs w:val="12"/>
    </w:rPr>
  </w:style>
  <w:style w:type="paragraph" w:styleId="ListParagraph">
    <w:name w:val="List Paragraph"/>
    <w:basedOn w:val="Normal"/>
    <w:uiPriority w:val="34"/>
    <w:qFormat/>
    <w:rsid w:val="00A40F48"/>
    <w:pPr>
      <w:ind w:left="720"/>
      <w:contextualSpacing/>
    </w:pPr>
  </w:style>
  <w:style w:type="paragraph" w:customStyle="1" w:styleId="Default">
    <w:name w:val="Default"/>
    <w:rsid w:val="00C5057B"/>
    <w:pPr>
      <w:autoSpaceDE w:val="0"/>
      <w:autoSpaceDN w:val="0"/>
      <w:adjustRightInd w:val="0"/>
    </w:pPr>
    <w:rPr>
      <w:rFonts w:ascii="Times New Roman" w:hAnsi="Times New Roman"/>
      <w:color w:val="000000"/>
      <w:sz w:val="24"/>
      <w:szCs w:val="24"/>
      <w:lang w:eastAsia="en-US"/>
    </w:rPr>
  </w:style>
  <w:style w:type="character" w:customStyle="1" w:styleId="A2">
    <w:name w:val="A2"/>
    <w:uiPriority w:val="99"/>
    <w:rsid w:val="00C5057B"/>
    <w:rPr>
      <w:color w:val="000000"/>
      <w:sz w:val="22"/>
      <w:szCs w:val="22"/>
    </w:rPr>
  </w:style>
  <w:style w:type="character" w:styleId="Hyperlink">
    <w:name w:val="Hyperlink"/>
    <w:uiPriority w:val="99"/>
    <w:unhideWhenUsed/>
    <w:rsid w:val="00E75E52"/>
    <w:rPr>
      <w:color w:val="0000FF"/>
      <w:u w:val="single"/>
    </w:rPr>
  </w:style>
  <w:style w:type="paragraph" w:styleId="BalloonText">
    <w:name w:val="Balloon Text"/>
    <w:basedOn w:val="Normal"/>
    <w:link w:val="BalloonTextChar"/>
    <w:uiPriority w:val="99"/>
    <w:semiHidden/>
    <w:unhideWhenUsed/>
    <w:rsid w:val="0051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9A"/>
    <w:rPr>
      <w:rFonts w:ascii="Tahoma" w:hAnsi="Tahoma" w:cs="Tahoma"/>
      <w:sz w:val="16"/>
      <w:szCs w:val="16"/>
    </w:rPr>
  </w:style>
  <w:style w:type="table" w:customStyle="1" w:styleId="LightShading1">
    <w:name w:val="Light Shading1"/>
    <w:basedOn w:val="TableNormal"/>
    <w:uiPriority w:val="60"/>
    <w:rsid w:val="00BF67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1F0E34"/>
    <w:rPr>
      <w:color w:val="800080"/>
      <w:u w:val="single"/>
    </w:rPr>
  </w:style>
  <w:style w:type="paragraph" w:styleId="Header">
    <w:name w:val="header"/>
    <w:basedOn w:val="Normal"/>
    <w:link w:val="HeaderChar"/>
    <w:uiPriority w:val="99"/>
    <w:unhideWhenUsed/>
    <w:rsid w:val="00E7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F8"/>
  </w:style>
  <w:style w:type="paragraph" w:styleId="Footer">
    <w:name w:val="footer"/>
    <w:basedOn w:val="Normal"/>
    <w:link w:val="FooterChar"/>
    <w:uiPriority w:val="99"/>
    <w:unhideWhenUsed/>
    <w:rsid w:val="00E7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F8"/>
  </w:style>
  <w:style w:type="table" w:styleId="TableGrid">
    <w:name w:val="Table Grid"/>
    <w:basedOn w:val="TableNormal"/>
    <w:uiPriority w:val="39"/>
    <w:rsid w:val="000F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1F1274"/>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Shading1-Accent11">
    <w:name w:val="Medium Shading 1 - Accent 11"/>
    <w:basedOn w:val="TableNormal"/>
    <w:uiPriority w:val="63"/>
    <w:rsid w:val="00C76FBC"/>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F484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796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796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796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796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T">
    <w:name w:val="AT"/>
    <w:basedOn w:val="Normal"/>
    <w:link w:val="ATChar"/>
    <w:qFormat/>
    <w:rsid w:val="005D5B68"/>
    <w:pPr>
      <w:spacing w:before="240" w:line="240" w:lineRule="auto"/>
      <w:jc w:val="center"/>
    </w:pPr>
    <w:rPr>
      <w:rFonts w:ascii="Times New Roman" w:eastAsia="Times New Roman" w:hAnsi="Times New Roman"/>
      <w:b/>
      <w:bCs/>
      <w:color w:val="003296"/>
      <w:kern w:val="36"/>
      <w:sz w:val="32"/>
      <w:szCs w:val="32"/>
      <w:lang w:val="en-US" w:eastAsia="en-IN"/>
    </w:rPr>
  </w:style>
  <w:style w:type="paragraph" w:customStyle="1" w:styleId="Author">
    <w:name w:val="Author"/>
    <w:basedOn w:val="Normal"/>
    <w:link w:val="AuthorChar"/>
    <w:qFormat/>
    <w:rsid w:val="005D5B68"/>
    <w:pPr>
      <w:spacing w:before="240" w:line="240" w:lineRule="auto"/>
      <w:jc w:val="center"/>
    </w:pPr>
    <w:rPr>
      <w:rFonts w:ascii="Times New Roman" w:eastAsia="Times New Roman" w:hAnsi="Times New Roman"/>
      <w:b/>
      <w:bCs/>
      <w:kern w:val="36"/>
      <w:sz w:val="24"/>
      <w:szCs w:val="20"/>
      <w:lang w:eastAsia="en-IN"/>
    </w:rPr>
  </w:style>
  <w:style w:type="character" w:customStyle="1" w:styleId="ATChar">
    <w:name w:val="AT Char"/>
    <w:basedOn w:val="DefaultParagraphFont"/>
    <w:link w:val="AT"/>
    <w:rsid w:val="005D5B68"/>
    <w:rPr>
      <w:rFonts w:ascii="Times New Roman" w:eastAsia="Times New Roman" w:hAnsi="Times New Roman"/>
      <w:b/>
      <w:bCs/>
      <w:color w:val="003296"/>
      <w:kern w:val="36"/>
      <w:sz w:val="32"/>
      <w:szCs w:val="32"/>
      <w:lang w:val="en-US"/>
    </w:rPr>
  </w:style>
  <w:style w:type="paragraph" w:customStyle="1" w:styleId="affiliation">
    <w:name w:val="affiliation"/>
    <w:basedOn w:val="Normal"/>
    <w:link w:val="affiliationChar"/>
    <w:qFormat/>
    <w:rsid w:val="005D5B68"/>
    <w:pPr>
      <w:spacing w:after="0" w:line="240" w:lineRule="auto"/>
    </w:pPr>
    <w:rPr>
      <w:rFonts w:ascii="Times New Roman" w:hAnsi="Times New Roman"/>
      <w:sz w:val="20"/>
      <w:szCs w:val="20"/>
    </w:rPr>
  </w:style>
  <w:style w:type="character" w:customStyle="1" w:styleId="AuthorChar">
    <w:name w:val="Author Char"/>
    <w:basedOn w:val="DefaultParagraphFont"/>
    <w:link w:val="Author"/>
    <w:rsid w:val="005D5B68"/>
    <w:rPr>
      <w:rFonts w:ascii="Times New Roman" w:eastAsia="Times New Roman" w:hAnsi="Times New Roman"/>
      <w:b/>
      <w:bCs/>
      <w:kern w:val="36"/>
      <w:sz w:val="24"/>
    </w:rPr>
  </w:style>
  <w:style w:type="paragraph" w:customStyle="1" w:styleId="email">
    <w:name w:val="email"/>
    <w:basedOn w:val="Normal"/>
    <w:link w:val="emailChar"/>
    <w:qFormat/>
    <w:rsid w:val="005D5B68"/>
    <w:pPr>
      <w:spacing w:after="0" w:line="240" w:lineRule="auto"/>
    </w:pPr>
    <w:rPr>
      <w:rFonts w:ascii="Times New Roman" w:hAnsi="Times New Roman"/>
      <w:sz w:val="20"/>
      <w:szCs w:val="20"/>
    </w:rPr>
  </w:style>
  <w:style w:type="character" w:customStyle="1" w:styleId="affiliationChar">
    <w:name w:val="affiliation Char"/>
    <w:basedOn w:val="DefaultParagraphFont"/>
    <w:link w:val="affiliation"/>
    <w:rsid w:val="005D5B68"/>
    <w:rPr>
      <w:rFonts w:ascii="Times New Roman" w:hAnsi="Times New Roman"/>
      <w:lang w:eastAsia="en-US"/>
    </w:rPr>
  </w:style>
  <w:style w:type="paragraph" w:customStyle="1" w:styleId="abstract">
    <w:name w:val="abstract"/>
    <w:basedOn w:val="Normal"/>
    <w:link w:val="abstractChar"/>
    <w:qFormat/>
    <w:rsid w:val="005D5B68"/>
    <w:pPr>
      <w:spacing w:line="240" w:lineRule="auto"/>
      <w:jc w:val="both"/>
    </w:pPr>
    <w:rPr>
      <w:rFonts w:ascii="Times New Roman" w:hAnsi="Times New Roman"/>
      <w:sz w:val="20"/>
      <w:szCs w:val="20"/>
      <w:lang w:val="en-US"/>
    </w:rPr>
  </w:style>
  <w:style w:type="character" w:customStyle="1" w:styleId="emailChar">
    <w:name w:val="email Char"/>
    <w:basedOn w:val="DefaultParagraphFont"/>
    <w:link w:val="email"/>
    <w:rsid w:val="005D5B68"/>
    <w:rPr>
      <w:rFonts w:ascii="Times New Roman" w:hAnsi="Times New Roman"/>
      <w:lang w:eastAsia="en-US"/>
    </w:rPr>
  </w:style>
  <w:style w:type="paragraph" w:customStyle="1" w:styleId="keywords">
    <w:name w:val="keywords"/>
    <w:basedOn w:val="Normal"/>
    <w:link w:val="keywordsChar"/>
    <w:qFormat/>
    <w:rsid w:val="005D5B68"/>
    <w:pPr>
      <w:spacing w:after="0" w:line="240" w:lineRule="auto"/>
      <w:jc w:val="both"/>
    </w:pPr>
    <w:rPr>
      <w:rFonts w:ascii="Times New Roman" w:hAnsi="Times New Roman"/>
      <w:bCs/>
      <w:sz w:val="20"/>
      <w:szCs w:val="20"/>
      <w:lang w:val="en-US"/>
    </w:rPr>
  </w:style>
  <w:style w:type="character" w:customStyle="1" w:styleId="abstractChar">
    <w:name w:val="abstract Char"/>
    <w:basedOn w:val="DefaultParagraphFont"/>
    <w:link w:val="abstract"/>
    <w:rsid w:val="005D5B68"/>
    <w:rPr>
      <w:rFonts w:ascii="Times New Roman" w:hAnsi="Times New Roman"/>
      <w:lang w:val="en-US" w:eastAsia="en-US"/>
    </w:rPr>
  </w:style>
  <w:style w:type="paragraph" w:customStyle="1" w:styleId="Noindentpara">
    <w:name w:val="No indent para"/>
    <w:basedOn w:val="Normal"/>
    <w:link w:val="NoindentparaChar"/>
    <w:qFormat/>
    <w:rsid w:val="005D5B68"/>
    <w:pPr>
      <w:spacing w:before="240" w:line="240" w:lineRule="auto"/>
      <w:jc w:val="both"/>
    </w:pPr>
    <w:rPr>
      <w:rFonts w:ascii="Times New Roman" w:hAnsi="Times New Roman"/>
      <w:sz w:val="20"/>
      <w:szCs w:val="20"/>
    </w:rPr>
  </w:style>
  <w:style w:type="character" w:customStyle="1" w:styleId="keywordsChar">
    <w:name w:val="keywords Char"/>
    <w:basedOn w:val="DefaultParagraphFont"/>
    <w:link w:val="keywords"/>
    <w:rsid w:val="005D5B68"/>
    <w:rPr>
      <w:rFonts w:ascii="Times New Roman" w:hAnsi="Times New Roman"/>
      <w:bCs/>
      <w:lang w:val="en-US" w:eastAsia="en-US"/>
    </w:rPr>
  </w:style>
  <w:style w:type="paragraph" w:customStyle="1" w:styleId="H1">
    <w:name w:val="H1"/>
    <w:basedOn w:val="Normal"/>
    <w:link w:val="H1Char"/>
    <w:qFormat/>
    <w:rsid w:val="005D5B68"/>
    <w:pPr>
      <w:spacing w:before="240" w:line="240" w:lineRule="auto"/>
      <w:jc w:val="both"/>
    </w:pPr>
    <w:rPr>
      <w:rFonts w:ascii="Times New Roman" w:hAnsi="Times New Roman"/>
      <w:b/>
      <w:caps/>
      <w:color w:val="003296"/>
      <w:sz w:val="20"/>
      <w:szCs w:val="20"/>
    </w:rPr>
  </w:style>
  <w:style w:type="character" w:customStyle="1" w:styleId="NoindentparaChar">
    <w:name w:val="No indent para Char"/>
    <w:basedOn w:val="DefaultParagraphFont"/>
    <w:link w:val="Noindentpara"/>
    <w:rsid w:val="005D5B68"/>
    <w:rPr>
      <w:rFonts w:ascii="Times New Roman" w:hAnsi="Times New Roman"/>
      <w:lang w:eastAsia="en-US"/>
    </w:rPr>
  </w:style>
  <w:style w:type="paragraph" w:customStyle="1" w:styleId="floatcaption">
    <w:name w:val="float_caption"/>
    <w:basedOn w:val="Normal"/>
    <w:link w:val="floatcaptionChar"/>
    <w:qFormat/>
    <w:rsid w:val="005D5B68"/>
    <w:pPr>
      <w:spacing w:before="240" w:line="240" w:lineRule="auto"/>
      <w:jc w:val="center"/>
    </w:pPr>
    <w:rPr>
      <w:rFonts w:ascii="Times New Roman" w:hAnsi="Times New Roman"/>
      <w:b/>
      <w:color w:val="003296"/>
      <w:sz w:val="20"/>
      <w:szCs w:val="20"/>
    </w:rPr>
  </w:style>
  <w:style w:type="character" w:customStyle="1" w:styleId="H1Char">
    <w:name w:val="H1 Char"/>
    <w:basedOn w:val="DefaultParagraphFont"/>
    <w:link w:val="H1"/>
    <w:rsid w:val="005D5B68"/>
    <w:rPr>
      <w:rFonts w:ascii="Times New Roman" w:hAnsi="Times New Roman"/>
      <w:b/>
      <w:caps/>
      <w:color w:val="003296"/>
      <w:lang w:eastAsia="en-US"/>
    </w:rPr>
  </w:style>
  <w:style w:type="paragraph" w:customStyle="1" w:styleId="Biblio">
    <w:name w:val="Biblio"/>
    <w:basedOn w:val="Normal"/>
    <w:link w:val="BiblioChar"/>
    <w:qFormat/>
    <w:rsid w:val="005D5B68"/>
    <w:pPr>
      <w:numPr>
        <w:numId w:val="8"/>
      </w:numPr>
      <w:spacing w:after="0" w:line="240" w:lineRule="auto"/>
      <w:ind w:left="426" w:hanging="426"/>
      <w:jc w:val="both"/>
    </w:pPr>
    <w:rPr>
      <w:rFonts w:ascii="Times New Roman" w:hAnsi="Times New Roman"/>
      <w:bCs/>
      <w:sz w:val="20"/>
      <w:szCs w:val="20"/>
    </w:rPr>
  </w:style>
  <w:style w:type="character" w:customStyle="1" w:styleId="floatcaptionChar">
    <w:name w:val="float_caption Char"/>
    <w:basedOn w:val="DefaultParagraphFont"/>
    <w:link w:val="floatcaption"/>
    <w:rsid w:val="005D5B68"/>
    <w:rPr>
      <w:rFonts w:ascii="Times New Roman" w:hAnsi="Times New Roman"/>
      <w:b/>
      <w:color w:val="003296"/>
      <w:lang w:eastAsia="en-US"/>
    </w:rPr>
  </w:style>
  <w:style w:type="paragraph" w:customStyle="1" w:styleId="H2">
    <w:name w:val="H2"/>
    <w:basedOn w:val="Normal"/>
    <w:link w:val="H2Char"/>
    <w:qFormat/>
    <w:rsid w:val="005D5B68"/>
    <w:pPr>
      <w:spacing w:before="240" w:line="240" w:lineRule="auto"/>
      <w:jc w:val="both"/>
    </w:pPr>
    <w:rPr>
      <w:rFonts w:ascii="Times New Roman" w:hAnsi="Times New Roman"/>
      <w:b/>
      <w:i/>
      <w:sz w:val="20"/>
      <w:szCs w:val="20"/>
    </w:rPr>
  </w:style>
  <w:style w:type="character" w:customStyle="1" w:styleId="BiblioChar">
    <w:name w:val="Biblio Char"/>
    <w:basedOn w:val="DefaultParagraphFont"/>
    <w:link w:val="Biblio"/>
    <w:rsid w:val="005D5B68"/>
    <w:rPr>
      <w:rFonts w:ascii="Times New Roman" w:hAnsi="Times New Roman"/>
      <w:bCs/>
      <w:lang w:eastAsia="en-US"/>
    </w:rPr>
  </w:style>
  <w:style w:type="character" w:customStyle="1" w:styleId="H2Char">
    <w:name w:val="H2 Char"/>
    <w:basedOn w:val="DefaultParagraphFont"/>
    <w:link w:val="H2"/>
    <w:rsid w:val="005D5B68"/>
    <w:rPr>
      <w:rFonts w:ascii="Times New Roman" w:hAnsi="Times New Roman"/>
      <w:b/>
      <w:i/>
      <w:lang w:eastAsia="en-US"/>
    </w:rPr>
  </w:style>
  <w:style w:type="paragraph" w:customStyle="1" w:styleId="DecimalAligned">
    <w:name w:val="Decimal Aligned"/>
    <w:basedOn w:val="Normal"/>
    <w:uiPriority w:val="40"/>
    <w:qFormat/>
    <w:rsid w:val="006C391E"/>
    <w:pPr>
      <w:tabs>
        <w:tab w:val="decimal" w:pos="360"/>
      </w:tabs>
    </w:pPr>
    <w:rPr>
      <w:rFonts w:asciiTheme="minorHAnsi" w:eastAsiaTheme="minorEastAsia" w:hAnsiTheme="minorHAnsi" w:cstheme="minorBidi"/>
      <w:lang w:val="en-US" w:eastAsia="en-IN"/>
    </w:rPr>
  </w:style>
  <w:style w:type="character" w:styleId="SubtleEmphasis">
    <w:name w:val="Subtle Emphasis"/>
    <w:basedOn w:val="DefaultParagraphFont"/>
    <w:uiPriority w:val="19"/>
    <w:qFormat/>
    <w:rsid w:val="006C391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6C391E"/>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6C391E"/>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994">
      <w:bodyDiv w:val="1"/>
      <w:marLeft w:val="0"/>
      <w:marRight w:val="0"/>
      <w:marTop w:val="0"/>
      <w:marBottom w:val="0"/>
      <w:divBdr>
        <w:top w:val="none" w:sz="0" w:space="0" w:color="auto"/>
        <w:left w:val="none" w:sz="0" w:space="0" w:color="auto"/>
        <w:bottom w:val="none" w:sz="0" w:space="0" w:color="auto"/>
        <w:right w:val="none" w:sz="0" w:space="0" w:color="auto"/>
      </w:divBdr>
      <w:divsChild>
        <w:div w:id="508835831">
          <w:marLeft w:val="0"/>
          <w:marRight w:val="0"/>
          <w:marTop w:val="0"/>
          <w:marBottom w:val="0"/>
          <w:divBdr>
            <w:top w:val="none" w:sz="0" w:space="0" w:color="auto"/>
            <w:left w:val="none" w:sz="0" w:space="0" w:color="auto"/>
            <w:bottom w:val="none" w:sz="0" w:space="0" w:color="auto"/>
            <w:right w:val="none" w:sz="0" w:space="0" w:color="auto"/>
          </w:divBdr>
          <w:divsChild>
            <w:div w:id="1178422965">
              <w:marLeft w:val="0"/>
              <w:marRight w:val="0"/>
              <w:marTop w:val="0"/>
              <w:marBottom w:val="0"/>
              <w:divBdr>
                <w:top w:val="none" w:sz="0" w:space="0" w:color="auto"/>
                <w:left w:val="none" w:sz="0" w:space="0" w:color="auto"/>
                <w:bottom w:val="none" w:sz="0" w:space="0" w:color="auto"/>
                <w:right w:val="none" w:sz="0" w:space="0" w:color="auto"/>
              </w:divBdr>
              <w:divsChild>
                <w:div w:id="482501511">
                  <w:marLeft w:val="0"/>
                  <w:marRight w:val="0"/>
                  <w:marTop w:val="0"/>
                  <w:marBottom w:val="0"/>
                  <w:divBdr>
                    <w:top w:val="none" w:sz="0" w:space="0" w:color="auto"/>
                    <w:left w:val="none" w:sz="0" w:space="0" w:color="auto"/>
                    <w:bottom w:val="none" w:sz="0" w:space="0" w:color="auto"/>
                    <w:right w:val="none" w:sz="0" w:space="0" w:color="auto"/>
                  </w:divBdr>
                  <w:divsChild>
                    <w:div w:id="480384776">
                      <w:marLeft w:val="0"/>
                      <w:marRight w:val="0"/>
                      <w:marTop w:val="0"/>
                      <w:marBottom w:val="0"/>
                      <w:divBdr>
                        <w:top w:val="none" w:sz="0" w:space="0" w:color="auto"/>
                        <w:left w:val="none" w:sz="0" w:space="0" w:color="auto"/>
                        <w:bottom w:val="none" w:sz="0" w:space="0" w:color="auto"/>
                        <w:right w:val="none" w:sz="0" w:space="0" w:color="auto"/>
                      </w:divBdr>
                      <w:divsChild>
                        <w:div w:id="100996105">
                          <w:marLeft w:val="0"/>
                          <w:marRight w:val="0"/>
                          <w:marTop w:val="0"/>
                          <w:marBottom w:val="0"/>
                          <w:divBdr>
                            <w:top w:val="none" w:sz="0" w:space="0" w:color="auto"/>
                            <w:left w:val="none" w:sz="0" w:space="0" w:color="auto"/>
                            <w:bottom w:val="none" w:sz="0" w:space="0" w:color="auto"/>
                            <w:right w:val="none" w:sz="0" w:space="0" w:color="auto"/>
                          </w:divBdr>
                          <w:divsChild>
                            <w:div w:id="1586916415">
                              <w:marLeft w:val="0"/>
                              <w:marRight w:val="0"/>
                              <w:marTop w:val="0"/>
                              <w:marBottom w:val="0"/>
                              <w:divBdr>
                                <w:top w:val="none" w:sz="0" w:space="0" w:color="auto"/>
                                <w:left w:val="none" w:sz="0" w:space="0" w:color="auto"/>
                                <w:bottom w:val="none" w:sz="0" w:space="0" w:color="auto"/>
                                <w:right w:val="none" w:sz="0" w:space="0" w:color="auto"/>
                              </w:divBdr>
                              <w:divsChild>
                                <w:div w:id="950745373">
                                  <w:marLeft w:val="0"/>
                                  <w:marRight w:val="0"/>
                                  <w:marTop w:val="0"/>
                                  <w:marBottom w:val="0"/>
                                  <w:divBdr>
                                    <w:top w:val="none" w:sz="0" w:space="0" w:color="auto"/>
                                    <w:left w:val="none" w:sz="0" w:space="0" w:color="auto"/>
                                    <w:bottom w:val="none" w:sz="0" w:space="0" w:color="auto"/>
                                    <w:right w:val="none" w:sz="0" w:space="0" w:color="auto"/>
                                  </w:divBdr>
                                  <w:divsChild>
                                    <w:div w:id="1918830292">
                                      <w:marLeft w:val="0"/>
                                      <w:marRight w:val="0"/>
                                      <w:marTop w:val="0"/>
                                      <w:marBottom w:val="0"/>
                                      <w:divBdr>
                                        <w:top w:val="none" w:sz="0" w:space="0" w:color="auto"/>
                                        <w:left w:val="none" w:sz="0" w:space="0" w:color="auto"/>
                                        <w:bottom w:val="none" w:sz="0" w:space="0" w:color="auto"/>
                                        <w:right w:val="none" w:sz="0" w:space="0" w:color="auto"/>
                                      </w:divBdr>
                                    </w:div>
                                    <w:div w:id="1746107197">
                                      <w:marLeft w:val="0"/>
                                      <w:marRight w:val="0"/>
                                      <w:marTop w:val="0"/>
                                      <w:marBottom w:val="0"/>
                                      <w:divBdr>
                                        <w:top w:val="none" w:sz="0" w:space="0" w:color="auto"/>
                                        <w:left w:val="none" w:sz="0" w:space="0" w:color="auto"/>
                                        <w:bottom w:val="none" w:sz="0" w:space="0" w:color="auto"/>
                                        <w:right w:val="none" w:sz="0" w:space="0" w:color="auto"/>
                                      </w:divBdr>
                                      <w:divsChild>
                                        <w:div w:id="1684014810">
                                          <w:marLeft w:val="0"/>
                                          <w:marRight w:val="0"/>
                                          <w:marTop w:val="0"/>
                                          <w:marBottom w:val="0"/>
                                          <w:divBdr>
                                            <w:top w:val="none" w:sz="0" w:space="0" w:color="auto"/>
                                            <w:left w:val="none" w:sz="0" w:space="0" w:color="auto"/>
                                            <w:bottom w:val="none" w:sz="0" w:space="0" w:color="auto"/>
                                            <w:right w:val="none" w:sz="0" w:space="0" w:color="auto"/>
                                          </w:divBdr>
                                        </w:div>
                                      </w:divsChild>
                                    </w:div>
                                    <w:div w:id="82532675">
                                      <w:marLeft w:val="0"/>
                                      <w:marRight w:val="0"/>
                                      <w:marTop w:val="0"/>
                                      <w:marBottom w:val="0"/>
                                      <w:divBdr>
                                        <w:top w:val="none" w:sz="0" w:space="0" w:color="auto"/>
                                        <w:left w:val="none" w:sz="0" w:space="0" w:color="auto"/>
                                        <w:bottom w:val="none" w:sz="0" w:space="0" w:color="auto"/>
                                        <w:right w:val="none" w:sz="0" w:space="0" w:color="auto"/>
                                      </w:divBdr>
                                    </w:div>
                                    <w:div w:id="2007903424">
                                      <w:marLeft w:val="0"/>
                                      <w:marRight w:val="0"/>
                                      <w:marTop w:val="0"/>
                                      <w:marBottom w:val="0"/>
                                      <w:divBdr>
                                        <w:top w:val="none" w:sz="0" w:space="0" w:color="auto"/>
                                        <w:left w:val="none" w:sz="0" w:space="0" w:color="auto"/>
                                        <w:bottom w:val="none" w:sz="0" w:space="0" w:color="auto"/>
                                        <w:right w:val="none" w:sz="0" w:space="0" w:color="auto"/>
                                      </w:divBdr>
                                    </w:div>
                                    <w:div w:id="1262370002">
                                      <w:marLeft w:val="0"/>
                                      <w:marRight w:val="0"/>
                                      <w:marTop w:val="0"/>
                                      <w:marBottom w:val="0"/>
                                      <w:divBdr>
                                        <w:top w:val="none" w:sz="0" w:space="0" w:color="auto"/>
                                        <w:left w:val="none" w:sz="0" w:space="0" w:color="auto"/>
                                        <w:bottom w:val="none" w:sz="0" w:space="0" w:color="auto"/>
                                        <w:right w:val="none" w:sz="0" w:space="0" w:color="auto"/>
                                      </w:divBdr>
                                    </w:div>
                                    <w:div w:id="1355575922">
                                      <w:marLeft w:val="0"/>
                                      <w:marRight w:val="0"/>
                                      <w:marTop w:val="0"/>
                                      <w:marBottom w:val="0"/>
                                      <w:divBdr>
                                        <w:top w:val="none" w:sz="0" w:space="0" w:color="auto"/>
                                        <w:left w:val="none" w:sz="0" w:space="0" w:color="auto"/>
                                        <w:bottom w:val="none" w:sz="0" w:space="0" w:color="auto"/>
                                        <w:right w:val="none" w:sz="0" w:space="0" w:color="auto"/>
                                      </w:divBdr>
                                    </w:div>
                                    <w:div w:id="827592239">
                                      <w:marLeft w:val="0"/>
                                      <w:marRight w:val="0"/>
                                      <w:marTop w:val="0"/>
                                      <w:marBottom w:val="0"/>
                                      <w:divBdr>
                                        <w:top w:val="none" w:sz="0" w:space="0" w:color="auto"/>
                                        <w:left w:val="none" w:sz="0" w:space="0" w:color="auto"/>
                                        <w:bottom w:val="none" w:sz="0" w:space="0" w:color="auto"/>
                                        <w:right w:val="none" w:sz="0" w:space="0" w:color="auto"/>
                                      </w:divBdr>
                                    </w:div>
                                  </w:divsChild>
                                </w:div>
                                <w:div w:id="543640717">
                                  <w:marLeft w:val="0"/>
                                  <w:marRight w:val="0"/>
                                  <w:marTop w:val="0"/>
                                  <w:marBottom w:val="0"/>
                                  <w:divBdr>
                                    <w:top w:val="none" w:sz="0" w:space="0" w:color="auto"/>
                                    <w:left w:val="none" w:sz="0" w:space="0" w:color="auto"/>
                                    <w:bottom w:val="none" w:sz="0" w:space="0" w:color="auto"/>
                                    <w:right w:val="none" w:sz="0" w:space="0" w:color="auto"/>
                                  </w:divBdr>
                                </w:div>
                              </w:divsChild>
                            </w:div>
                            <w:div w:id="1003706733">
                              <w:marLeft w:val="0"/>
                              <w:marRight w:val="0"/>
                              <w:marTop w:val="0"/>
                              <w:marBottom w:val="0"/>
                              <w:divBdr>
                                <w:top w:val="none" w:sz="0" w:space="0" w:color="auto"/>
                                <w:left w:val="none" w:sz="0" w:space="0" w:color="auto"/>
                                <w:bottom w:val="none" w:sz="0" w:space="0" w:color="auto"/>
                                <w:right w:val="none" w:sz="0" w:space="0" w:color="auto"/>
                              </w:divBdr>
                              <w:divsChild>
                                <w:div w:id="645626320">
                                  <w:marLeft w:val="0"/>
                                  <w:marRight w:val="0"/>
                                  <w:marTop w:val="0"/>
                                  <w:marBottom w:val="0"/>
                                  <w:divBdr>
                                    <w:top w:val="none" w:sz="0" w:space="0" w:color="auto"/>
                                    <w:left w:val="none" w:sz="0" w:space="0" w:color="auto"/>
                                    <w:bottom w:val="none" w:sz="0" w:space="0" w:color="auto"/>
                                    <w:right w:val="none" w:sz="0" w:space="0" w:color="auto"/>
                                  </w:divBdr>
                                </w:div>
                              </w:divsChild>
                            </w:div>
                            <w:div w:id="1049916561">
                              <w:marLeft w:val="0"/>
                              <w:marRight w:val="0"/>
                              <w:marTop w:val="0"/>
                              <w:marBottom w:val="0"/>
                              <w:divBdr>
                                <w:top w:val="none" w:sz="0" w:space="0" w:color="auto"/>
                                <w:left w:val="none" w:sz="0" w:space="0" w:color="auto"/>
                                <w:bottom w:val="none" w:sz="0" w:space="0" w:color="auto"/>
                                <w:right w:val="none" w:sz="0" w:space="0" w:color="auto"/>
                              </w:divBdr>
                              <w:divsChild>
                                <w:div w:id="776216610">
                                  <w:marLeft w:val="0"/>
                                  <w:marRight w:val="0"/>
                                  <w:marTop w:val="0"/>
                                  <w:marBottom w:val="0"/>
                                  <w:divBdr>
                                    <w:top w:val="none" w:sz="0" w:space="0" w:color="auto"/>
                                    <w:left w:val="none" w:sz="0" w:space="0" w:color="auto"/>
                                    <w:bottom w:val="none" w:sz="0" w:space="0" w:color="auto"/>
                                    <w:right w:val="none" w:sz="0" w:space="0" w:color="auto"/>
                                  </w:divBdr>
                                  <w:divsChild>
                                    <w:div w:id="1227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358361">
      <w:bodyDiv w:val="1"/>
      <w:marLeft w:val="0"/>
      <w:marRight w:val="0"/>
      <w:marTop w:val="0"/>
      <w:marBottom w:val="0"/>
      <w:divBdr>
        <w:top w:val="none" w:sz="0" w:space="0" w:color="auto"/>
        <w:left w:val="none" w:sz="0" w:space="0" w:color="auto"/>
        <w:bottom w:val="none" w:sz="0" w:space="0" w:color="auto"/>
        <w:right w:val="none" w:sz="0" w:space="0" w:color="auto"/>
      </w:divBdr>
    </w:div>
    <w:div w:id="686558599">
      <w:bodyDiv w:val="1"/>
      <w:marLeft w:val="0"/>
      <w:marRight w:val="0"/>
      <w:marTop w:val="0"/>
      <w:marBottom w:val="0"/>
      <w:divBdr>
        <w:top w:val="none" w:sz="0" w:space="0" w:color="auto"/>
        <w:left w:val="none" w:sz="0" w:space="0" w:color="auto"/>
        <w:bottom w:val="none" w:sz="0" w:space="0" w:color="auto"/>
        <w:right w:val="none" w:sz="0" w:space="0" w:color="auto"/>
      </w:divBdr>
      <w:divsChild>
        <w:div w:id="929503205">
          <w:marLeft w:val="0"/>
          <w:marRight w:val="0"/>
          <w:marTop w:val="0"/>
          <w:marBottom w:val="0"/>
          <w:divBdr>
            <w:top w:val="none" w:sz="0" w:space="0" w:color="auto"/>
            <w:left w:val="none" w:sz="0" w:space="0" w:color="auto"/>
            <w:bottom w:val="none" w:sz="0" w:space="0" w:color="auto"/>
            <w:right w:val="none" w:sz="0" w:space="0" w:color="auto"/>
          </w:divBdr>
          <w:divsChild>
            <w:div w:id="748961391">
              <w:marLeft w:val="0"/>
              <w:marRight w:val="0"/>
              <w:marTop w:val="0"/>
              <w:marBottom w:val="0"/>
              <w:divBdr>
                <w:top w:val="none" w:sz="0" w:space="0" w:color="auto"/>
                <w:left w:val="none" w:sz="0" w:space="0" w:color="auto"/>
                <w:bottom w:val="none" w:sz="0" w:space="0" w:color="auto"/>
                <w:right w:val="none" w:sz="0" w:space="0" w:color="auto"/>
              </w:divBdr>
              <w:divsChild>
                <w:div w:id="792553590">
                  <w:marLeft w:val="0"/>
                  <w:marRight w:val="0"/>
                  <w:marTop w:val="0"/>
                  <w:marBottom w:val="0"/>
                  <w:divBdr>
                    <w:top w:val="none" w:sz="0" w:space="0" w:color="auto"/>
                    <w:left w:val="none" w:sz="0" w:space="0" w:color="auto"/>
                    <w:bottom w:val="none" w:sz="0" w:space="0" w:color="auto"/>
                    <w:right w:val="none" w:sz="0" w:space="0" w:color="auto"/>
                  </w:divBdr>
                  <w:divsChild>
                    <w:div w:id="1900088402">
                      <w:marLeft w:val="0"/>
                      <w:marRight w:val="0"/>
                      <w:marTop w:val="0"/>
                      <w:marBottom w:val="0"/>
                      <w:divBdr>
                        <w:top w:val="none" w:sz="0" w:space="0" w:color="auto"/>
                        <w:left w:val="none" w:sz="0" w:space="0" w:color="auto"/>
                        <w:bottom w:val="none" w:sz="0" w:space="0" w:color="auto"/>
                        <w:right w:val="none" w:sz="0" w:space="0" w:color="auto"/>
                      </w:divBdr>
                      <w:divsChild>
                        <w:div w:id="516970919">
                          <w:marLeft w:val="0"/>
                          <w:marRight w:val="0"/>
                          <w:marTop w:val="0"/>
                          <w:marBottom w:val="0"/>
                          <w:divBdr>
                            <w:top w:val="none" w:sz="0" w:space="0" w:color="auto"/>
                            <w:left w:val="none" w:sz="0" w:space="0" w:color="auto"/>
                            <w:bottom w:val="none" w:sz="0" w:space="0" w:color="auto"/>
                            <w:right w:val="none" w:sz="0" w:space="0" w:color="auto"/>
                          </w:divBdr>
                          <w:divsChild>
                            <w:div w:id="1116682880">
                              <w:marLeft w:val="0"/>
                              <w:marRight w:val="0"/>
                              <w:marTop w:val="0"/>
                              <w:marBottom w:val="0"/>
                              <w:divBdr>
                                <w:top w:val="none" w:sz="0" w:space="0" w:color="auto"/>
                                <w:left w:val="none" w:sz="0" w:space="0" w:color="auto"/>
                                <w:bottom w:val="none" w:sz="0" w:space="0" w:color="auto"/>
                                <w:right w:val="none" w:sz="0" w:space="0" w:color="auto"/>
                              </w:divBdr>
                              <w:divsChild>
                                <w:div w:id="49111345">
                                  <w:marLeft w:val="0"/>
                                  <w:marRight w:val="0"/>
                                  <w:marTop w:val="0"/>
                                  <w:marBottom w:val="0"/>
                                  <w:divBdr>
                                    <w:top w:val="none" w:sz="0" w:space="0" w:color="auto"/>
                                    <w:left w:val="none" w:sz="0" w:space="0" w:color="auto"/>
                                    <w:bottom w:val="none" w:sz="0" w:space="0" w:color="auto"/>
                                    <w:right w:val="none" w:sz="0" w:space="0" w:color="auto"/>
                                  </w:divBdr>
                                </w:div>
                              </w:divsChild>
                            </w:div>
                            <w:div w:id="1656445435">
                              <w:marLeft w:val="0"/>
                              <w:marRight w:val="0"/>
                              <w:marTop w:val="0"/>
                              <w:marBottom w:val="0"/>
                              <w:divBdr>
                                <w:top w:val="none" w:sz="0" w:space="0" w:color="auto"/>
                                <w:left w:val="none" w:sz="0" w:space="0" w:color="auto"/>
                                <w:bottom w:val="none" w:sz="0" w:space="0" w:color="auto"/>
                                <w:right w:val="none" w:sz="0" w:space="0" w:color="auto"/>
                              </w:divBdr>
                              <w:divsChild>
                                <w:div w:id="139076596">
                                  <w:marLeft w:val="0"/>
                                  <w:marRight w:val="0"/>
                                  <w:marTop w:val="0"/>
                                  <w:marBottom w:val="0"/>
                                  <w:divBdr>
                                    <w:top w:val="none" w:sz="0" w:space="0" w:color="auto"/>
                                    <w:left w:val="none" w:sz="0" w:space="0" w:color="auto"/>
                                    <w:bottom w:val="none" w:sz="0" w:space="0" w:color="auto"/>
                                    <w:right w:val="none" w:sz="0" w:space="0" w:color="auto"/>
                                  </w:divBdr>
                                  <w:divsChild>
                                    <w:div w:id="12393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32385">
      <w:bodyDiv w:val="1"/>
      <w:marLeft w:val="0"/>
      <w:marRight w:val="0"/>
      <w:marTop w:val="0"/>
      <w:marBottom w:val="0"/>
      <w:divBdr>
        <w:top w:val="none" w:sz="0" w:space="0" w:color="auto"/>
        <w:left w:val="none" w:sz="0" w:space="0" w:color="auto"/>
        <w:bottom w:val="none" w:sz="0" w:space="0" w:color="auto"/>
        <w:right w:val="none" w:sz="0" w:space="0" w:color="auto"/>
      </w:divBdr>
      <w:divsChild>
        <w:div w:id="349338482">
          <w:marLeft w:val="0"/>
          <w:marRight w:val="0"/>
          <w:marTop w:val="0"/>
          <w:marBottom w:val="0"/>
          <w:divBdr>
            <w:top w:val="none" w:sz="0" w:space="0" w:color="auto"/>
            <w:left w:val="none" w:sz="0" w:space="0" w:color="auto"/>
            <w:bottom w:val="none" w:sz="0" w:space="0" w:color="auto"/>
            <w:right w:val="none" w:sz="0" w:space="0" w:color="auto"/>
          </w:divBdr>
          <w:divsChild>
            <w:div w:id="68582926">
              <w:marLeft w:val="0"/>
              <w:marRight w:val="0"/>
              <w:marTop w:val="0"/>
              <w:marBottom w:val="0"/>
              <w:divBdr>
                <w:top w:val="none" w:sz="0" w:space="0" w:color="auto"/>
                <w:left w:val="none" w:sz="0" w:space="0" w:color="auto"/>
                <w:bottom w:val="none" w:sz="0" w:space="0" w:color="auto"/>
                <w:right w:val="none" w:sz="0" w:space="0" w:color="auto"/>
              </w:divBdr>
              <w:divsChild>
                <w:div w:id="465780590">
                  <w:marLeft w:val="0"/>
                  <w:marRight w:val="0"/>
                  <w:marTop w:val="0"/>
                  <w:marBottom w:val="0"/>
                  <w:divBdr>
                    <w:top w:val="none" w:sz="0" w:space="0" w:color="auto"/>
                    <w:left w:val="none" w:sz="0" w:space="0" w:color="auto"/>
                    <w:bottom w:val="none" w:sz="0" w:space="0" w:color="auto"/>
                    <w:right w:val="none" w:sz="0" w:space="0" w:color="auto"/>
                  </w:divBdr>
                  <w:divsChild>
                    <w:div w:id="128792070">
                      <w:marLeft w:val="0"/>
                      <w:marRight w:val="0"/>
                      <w:marTop w:val="0"/>
                      <w:marBottom w:val="0"/>
                      <w:divBdr>
                        <w:top w:val="none" w:sz="0" w:space="0" w:color="auto"/>
                        <w:left w:val="none" w:sz="0" w:space="0" w:color="auto"/>
                        <w:bottom w:val="none" w:sz="0" w:space="0" w:color="auto"/>
                        <w:right w:val="none" w:sz="0" w:space="0" w:color="auto"/>
                      </w:divBdr>
                      <w:divsChild>
                        <w:div w:id="274292416">
                          <w:marLeft w:val="0"/>
                          <w:marRight w:val="0"/>
                          <w:marTop w:val="0"/>
                          <w:marBottom w:val="0"/>
                          <w:divBdr>
                            <w:top w:val="none" w:sz="0" w:space="0" w:color="auto"/>
                            <w:left w:val="none" w:sz="0" w:space="0" w:color="auto"/>
                            <w:bottom w:val="none" w:sz="0" w:space="0" w:color="auto"/>
                            <w:right w:val="none" w:sz="0" w:space="0" w:color="auto"/>
                          </w:divBdr>
                          <w:divsChild>
                            <w:div w:id="2122069137">
                              <w:marLeft w:val="0"/>
                              <w:marRight w:val="0"/>
                              <w:marTop w:val="0"/>
                              <w:marBottom w:val="0"/>
                              <w:divBdr>
                                <w:top w:val="none" w:sz="0" w:space="0" w:color="auto"/>
                                <w:left w:val="none" w:sz="0" w:space="0" w:color="auto"/>
                                <w:bottom w:val="none" w:sz="0" w:space="0" w:color="auto"/>
                                <w:right w:val="none" w:sz="0" w:space="0" w:color="auto"/>
                              </w:divBdr>
                              <w:divsChild>
                                <w:div w:id="492914436">
                                  <w:marLeft w:val="0"/>
                                  <w:marRight w:val="0"/>
                                  <w:marTop w:val="0"/>
                                  <w:marBottom w:val="0"/>
                                  <w:divBdr>
                                    <w:top w:val="none" w:sz="0" w:space="0" w:color="auto"/>
                                    <w:left w:val="none" w:sz="0" w:space="0" w:color="auto"/>
                                    <w:bottom w:val="none" w:sz="0" w:space="0" w:color="auto"/>
                                    <w:right w:val="none" w:sz="0" w:space="0" w:color="auto"/>
                                  </w:divBdr>
                                </w:div>
                              </w:divsChild>
                            </w:div>
                            <w:div w:id="1881165943">
                              <w:marLeft w:val="0"/>
                              <w:marRight w:val="0"/>
                              <w:marTop w:val="0"/>
                              <w:marBottom w:val="0"/>
                              <w:divBdr>
                                <w:top w:val="none" w:sz="0" w:space="0" w:color="auto"/>
                                <w:left w:val="none" w:sz="0" w:space="0" w:color="auto"/>
                                <w:bottom w:val="none" w:sz="0" w:space="0" w:color="auto"/>
                                <w:right w:val="none" w:sz="0" w:space="0" w:color="auto"/>
                              </w:divBdr>
                              <w:divsChild>
                                <w:div w:id="377902699">
                                  <w:marLeft w:val="0"/>
                                  <w:marRight w:val="0"/>
                                  <w:marTop w:val="0"/>
                                  <w:marBottom w:val="0"/>
                                  <w:divBdr>
                                    <w:top w:val="none" w:sz="0" w:space="0" w:color="auto"/>
                                    <w:left w:val="none" w:sz="0" w:space="0" w:color="auto"/>
                                    <w:bottom w:val="none" w:sz="0" w:space="0" w:color="auto"/>
                                    <w:right w:val="none" w:sz="0" w:space="0" w:color="auto"/>
                                  </w:divBdr>
                                  <w:divsChild>
                                    <w:div w:id="8314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85C4-7CF2-4659-8CA1-4AF65819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4468</Words>
  <Characters>25469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Medip4</cp:lastModifiedBy>
  <cp:revision>6</cp:revision>
  <cp:lastPrinted>2021-03-25T07:45:00Z</cp:lastPrinted>
  <dcterms:created xsi:type="dcterms:W3CDTF">2023-10-18T14:35:00Z</dcterms:created>
  <dcterms:modified xsi:type="dcterms:W3CDTF">2023-10-25T06:57:00Z</dcterms:modified>
</cp:coreProperties>
</file>